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04" w:rsidRPr="00202A04" w:rsidRDefault="00202A04" w:rsidP="00202A04">
      <w:pPr>
        <w:autoSpaceDE w:val="0"/>
        <w:autoSpaceDN w:val="0"/>
        <w:adjustRightInd w:val="0"/>
        <w:jc w:val="center"/>
      </w:pPr>
      <w:r w:rsidRPr="00202A04">
        <w:rPr>
          <w:b/>
          <w:bCs/>
        </w:rPr>
        <w:t>2013. évi CLXXVI. törvény</w:t>
      </w:r>
    </w:p>
    <w:p w:rsidR="00202A04" w:rsidRPr="00202A04" w:rsidRDefault="00202A04" w:rsidP="00202A04">
      <w:pPr>
        <w:autoSpaceDE w:val="0"/>
        <w:autoSpaceDN w:val="0"/>
        <w:adjustRightInd w:val="0"/>
        <w:jc w:val="center"/>
      </w:pPr>
      <w:r w:rsidRPr="00202A04">
        <w:rPr>
          <w:b/>
          <w:bCs/>
        </w:rPr>
        <w:t>egyes jogi személyek átalakulásáról, egyesüléséről, szétválásáról</w:t>
      </w:r>
      <w:r w:rsidRPr="00202A04">
        <w:rPr>
          <w:b/>
          <w:bCs/>
          <w:vertAlign w:val="superscript"/>
        </w:rPr>
        <w:footnoteReference w:id="2"/>
      </w:r>
    </w:p>
    <w:p w:rsidR="00202A04" w:rsidRPr="00202A04" w:rsidRDefault="00202A04" w:rsidP="00202A04">
      <w:pPr>
        <w:autoSpaceDE w:val="0"/>
        <w:autoSpaceDN w:val="0"/>
        <w:adjustRightInd w:val="0"/>
        <w:jc w:val="center"/>
      </w:pPr>
      <w:r w:rsidRPr="00202A04">
        <w:rPr>
          <w:b/>
          <w:bCs/>
          <w:i/>
          <w:iCs/>
        </w:rPr>
        <w:t>1. Általános rendelkezések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b/>
          <w:bCs/>
        </w:rPr>
        <w:t xml:space="preserve">18. § </w:t>
      </w:r>
      <w:r>
        <w:t>(1) A szétválás során készített átalakulási terv (a továbbiakban: szétválási terv) része a szétválási szerződés is. A szétválási szerződés tervezetét a döntéshozó szerv döntései alapján a vezető tisztségviselők készítik el. Ebben az átalakulásnál előírt elemeken túl meg kell határozni: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a) </w:t>
      </w:r>
      <w:r>
        <w:t>a szétváló jogi személy típusát - gazdasági társaság esetén formáját -, nevét, székhelyét és nyilvántartási számát és a létrejövő jogi személyek típusát - gazdasági társaság esetén formáját - , nevét és székhelyét;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>b)</w:t>
      </w:r>
      <w:r w:rsidRPr="00202A04">
        <w:rPr>
          <w:i/>
          <w:iCs/>
          <w:vertAlign w:val="superscript"/>
        </w:rPr>
        <w:footnoteReference w:id="3"/>
      </w:r>
      <w:r w:rsidRPr="00202A04">
        <w:rPr>
          <w:i/>
          <w:iCs/>
        </w:rPr>
        <w:t xml:space="preserve"> </w:t>
      </w:r>
      <w:r>
        <w:t>a szétválás módját (különválás, kiválás, leválás);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c) </w:t>
      </w:r>
      <w:r>
        <w:t>a vagyonmegosztási javaslatot, vagyis a vagyon felosztását a szétváló jogi személy tagjai között, valamint ehhez kapcsolódóan a szétváló jogi személyt megillető jogok és kötelezettségek megosztására irányuló javaslatot; továbbá a jogelőd vagyonának a jogutódok közti megosztása tervezett arányát;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d) </w:t>
      </w:r>
      <w:r>
        <w:t>az egyes jogosítványok, illetve kötelezettségek, valamint a folyamatban lévő peres és nemperes ügyek és hatósági eljárások tekintetében a jogutód nevesítését;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e) </w:t>
      </w:r>
      <w:r>
        <w:t>kiválás esetében a fennmaradó (továbbműködő) jogi személy létesítő okiratában szükséges módosítások tervezetét, valamint a kiválással létrejövő jogi személy(ek) létesítő okiratának tervezetét;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f) </w:t>
      </w:r>
      <w:r>
        <w:t>különválás esetében a létrejövő új jogi személyek létesítő okiratának tervezetét;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g) </w:t>
      </w:r>
      <w:r>
        <w:t>beolvadásos kiválás és beolvadásos különválás esetén, ha kizárólag fennmaradó (továbbműködő) jogi személyek vannak, ezen jogi személyek létesítő okiratában szükséges módosítások tervezetét;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h) </w:t>
      </w:r>
      <w:r>
        <w:t>mindazt, amit törvény az egyes jogi személy típusok, gazdasági társaság esetén a társasági formák szétválása kapcsán előír, illetve amit a szétváló jogi személy döntéshozó szerve szükségesnek tart.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(2) A szétválási szándékról döntő első döntéshozó szervi ülésen meg kell határozni azt is, hogy a vagyonfelosztási javaslat elkészítése során milyen módszerekkel és melyik jogutód vagyonaként kell feltüntetni az ülésen tagsági szándéknyilatkozatot tevő tagra eső vagyont.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(3) Kiválás esetében az a jogi személy, amelyből a kiválás történik, a létesítő okirata módosítását követően változatlan jogi személy típusban, gazdasági társaság esetén változatlan formában működik tovább. Változatlan jogi személy típusban, gazdasági társaság esetén változatlan formában működik tovább - létesítő okirata módosítását követően - azon jogi személy, amelyhez beolvadásos kiválás és beolvadásos különválás során mint jogutódhoz csatlakozik a kiváló, különváló tag.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(4)</w:t>
      </w:r>
      <w:r w:rsidRPr="00202A04">
        <w:rPr>
          <w:vertAlign w:val="superscript"/>
        </w:rPr>
        <w:footnoteReference w:id="4"/>
      </w:r>
      <w:r>
        <w:t xml:space="preserve"> A szétválási terv elfogadásáról vagy módosításáról a szétváló jogi személy döntéshozó szerve dönt. Ha a tag a döntéshozatalban nem vesz részt és az 5. § alapján sem ismerhető meg szándéka, kiválás (beolvadásos kiválás) esetén úgy kell tekinteni, hogy a jogelőd továbbműködő jogi személy tagja kíván maradni, különválás (beolvadásos különválás) esetén pedig úgy kell tekinteni, hogy egyik jogutód jogi személynek sem kíván a tagja lenni.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lastRenderedPageBreak/>
        <w:t>(5)</w:t>
      </w:r>
      <w:r w:rsidRPr="00202A04">
        <w:rPr>
          <w:vertAlign w:val="superscript"/>
        </w:rPr>
        <w:footnoteReference w:id="5"/>
      </w:r>
      <w:r>
        <w:t xml:space="preserve"> Ha a szétválási szerződést a szétváló jogi személy döntéshozó szerve elfogadja, a jogutód új jogi személy létesítő okiratát és a továbbműködő jogi személy létesítő okirata módosítását a döntéshozó szerv felhatalmazása alapján a szétváló jogi személy vezető tisztségviselője írja alá.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b/>
          <w:bCs/>
        </w:rPr>
        <w:t>18/A. §</w:t>
      </w:r>
      <w:r w:rsidRPr="00202A04">
        <w:rPr>
          <w:b/>
          <w:bCs/>
          <w:vertAlign w:val="superscript"/>
        </w:rPr>
        <w:footnoteReference w:id="6"/>
      </w:r>
      <w:r w:rsidRPr="00202A04">
        <w:rPr>
          <w:b/>
          <w:bCs/>
        </w:rPr>
        <w:t xml:space="preserve"> </w:t>
      </w:r>
      <w:r>
        <w:t>(1) Leválásnál a szétváló jogi személy valamennyi tagja - amennyiben a leválás végrehajtása esetére tagsági viszonyát nem szünteti meg - a továbbműködő (fennmaradó) jogi személy tagja marad. A fennmaradó jogi személy jegyzett tőkéjének meghatározása során a leválással keletkező jogi személyben lévő részesedését nem lehet figyelembe venni.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(2) A leválásra a kiválás szabályai irányadóak a (3)-(8) bekezdésben foglalt eltérésekkel.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(3) Leválás esetén nem kerül sor annak felmérésére, hogy a jogelőd tagjai melyik jogutód tagjaivá kívánnak válni.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(4) A leválással egyidejűleg belépő új tag csak a továbbműködő (fennmaradó) jogi személyhez csatlakozhat.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(5) A jogutód jogi személyben részt venni nem kívánó tag alatt azon tag értendő, aki a leválás esetére a továbbműködő (fennmaradó) jogi személyben tagsági viszonyát megszünteti.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(6) Az 5. § (2) bekezdése szerinti nyilatkozat elmaradását úgy kell tekinteni, hogy a tag a továbbműködő (fennmaradó) jogi személy tagja kíván maradni.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(7) A 6. § (2) bekezdését azzal az eltéréssel kell alkalmazni, hogy csak azon tagot megillető vagyonhányadot és ennek kiadási módját kell meghatározni, amely tag a leválás esetére tagsági viszonyát megszünteti.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(8) A 17. § (2) bekezdése leválás esetén nem alkalmazható.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b/>
          <w:bCs/>
        </w:rPr>
        <w:t xml:space="preserve">19. § </w:t>
      </w:r>
      <w:r>
        <w:t>(1) A szétválási szerződés, illetve a jogutód jogi személyek létesítő okiratának aláírásától számított nyolc napon belül a szétváló jogi személy köteles a Cégközlönyben közlemény közzétételét kezdeményezni, amelyet két egymást követő lapszámban kell közzétenni.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(2) A szétválásról szóló közleményben az átalakulásnál előírt elemeken túl meg kell jelölni: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>a)</w:t>
      </w:r>
      <w:r w:rsidRPr="00202A04">
        <w:rPr>
          <w:i/>
          <w:iCs/>
          <w:vertAlign w:val="superscript"/>
        </w:rPr>
        <w:footnoteReference w:id="7"/>
      </w:r>
      <w:r w:rsidRPr="00202A04">
        <w:rPr>
          <w:i/>
          <w:iCs/>
        </w:rPr>
        <w:t xml:space="preserve"> </w:t>
      </w:r>
      <w:r>
        <w:t>a szétválás módját (különválás, kiválás, leválás), külön feltüntetve, ha a szétválás beolvadásos kiválással vagy beolvadásos különválással történik;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b) </w:t>
      </w:r>
      <w:r>
        <w:t>a szétváló jogi személyt megillető jogok és terhelő kötelezettségek megosztására vonatkozó megállapodás legfontosabb rendelkezéseit, különösen a vagyonmegosztás arányát;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i/>
          <w:iCs/>
        </w:rPr>
        <w:t xml:space="preserve">c) </w:t>
      </w:r>
      <w:r>
        <w:t>azt, hogy a hirdetményi határidő alatt hol kaphatnak tájékoztatást a hitelezők a követelésüket érintő vagyonmegosztási rendelkezésekről.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 w:rsidRPr="00202A04">
        <w:rPr>
          <w:b/>
          <w:bCs/>
        </w:rPr>
        <w:t>20. §</w:t>
      </w:r>
      <w:r w:rsidRPr="00202A04">
        <w:rPr>
          <w:b/>
          <w:bCs/>
          <w:vertAlign w:val="superscript"/>
        </w:rPr>
        <w:footnoteReference w:id="8"/>
      </w:r>
      <w:r w:rsidRPr="00202A04">
        <w:rPr>
          <w:b/>
          <w:bCs/>
        </w:rPr>
        <w:t xml:space="preserve"> </w:t>
      </w:r>
      <w:r>
        <w:t>(1)</w:t>
      </w:r>
      <w:r w:rsidRPr="00202A04">
        <w:rPr>
          <w:vertAlign w:val="superscript"/>
        </w:rPr>
        <w:footnoteReference w:id="9"/>
      </w:r>
      <w:r>
        <w:t xml:space="preserve"> Kiválás esetén a jogelőd továbbműködő jogi személyt, beolvadásos kiválás és beolvadásos különválás esetén a már működő jogi személyt, amelyhez a kiváló, különváló tag csatlakozik, a szétválás bejegyzésekor a bíróság nem törli a nyilvántartásból. Leválás esetén a jogelőd továbbműködő jogi személyt, amelyből a leválással keletkező jogi személy kiválik, a szétválás bejegyzésekor a bíróság nem törli a nyilvántartásból.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(2) Ha a szétválás bejegyzése során a jogelőd jogi személy nyilvántartásból való törlésére nem kerül sor, a 6. § (6) bekezdése és a 11. § (1a)-(1c) bekezdése alkalmazásában a jogelőd jogi személy törlésének hatálya alatt a szétválási kérelemben a jogelőd továbbműködő jogi személy törölni kért nyilvántartási adata törlésének hatályát kell érteni.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 xml:space="preserve">(3) Ha a szétválás bejegyzése során jogutódként új jogi személy nyilvántartásba való bejegyzésére nem kerül sor, a 6. § (6) bekezdése és a 11. § (1a)-(1c) bekezdése alkalmazásában a jogutód jogi személy bejegyzésének hatálya alatt a szétválásra vonatkozó nyilvántartási adaton </w:t>
      </w:r>
      <w:r>
        <w:lastRenderedPageBreak/>
        <w:t>kívüli, a szétválási kérelemben a már működő jogutód jogi személy vonatkozásában bejegyezni kért további nyilvántartási adat bejegyzésének hatályát kell érteni.</w:t>
      </w:r>
    </w:p>
    <w:p w:rsidR="00202A04" w:rsidRDefault="00202A04" w:rsidP="00202A04">
      <w:pPr>
        <w:autoSpaceDE w:val="0"/>
        <w:autoSpaceDN w:val="0"/>
        <w:adjustRightInd w:val="0"/>
        <w:ind w:firstLine="204"/>
        <w:jc w:val="both"/>
      </w:pPr>
      <w:r>
        <w:t>(4) Ha a jogi személy a (2), illetve (3) bekezdés szerint adatváltozást a kérelemben nem tüntet fel, vagy a 6. § (6) bekezdés szerinti időpontot nem határoz meg vagy a szétválás bejegyzésére későbbi időpontban kerül sor, a szétválás időpontja a szétválás bejegyzésének napja.</w:t>
      </w:r>
    </w:p>
    <w:p w:rsidR="00202A04" w:rsidRDefault="00202A04" w:rsidP="00202A04">
      <w:pPr>
        <w:autoSpaceDE w:val="0"/>
        <w:autoSpaceDN w:val="0"/>
        <w:adjustRightInd w:val="0"/>
        <w:jc w:val="both"/>
      </w:pPr>
    </w:p>
    <w:p w:rsidR="00480E0A" w:rsidRDefault="00480E0A"/>
    <w:sectPr w:rsidR="00480E0A" w:rsidSect="005B5B7F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DF" w:rsidRDefault="001D0CDF">
      <w:r>
        <w:separator/>
      </w:r>
    </w:p>
  </w:endnote>
  <w:endnote w:type="continuationSeparator" w:id="1">
    <w:p w:rsidR="001D0CDF" w:rsidRDefault="001D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04" w:rsidRDefault="00202A04" w:rsidP="005B5B7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02A04" w:rsidRDefault="00202A04" w:rsidP="00202A04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04" w:rsidRDefault="00202A04" w:rsidP="005B5B7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C18D6">
      <w:rPr>
        <w:rStyle w:val="Oldalszm"/>
        <w:noProof/>
      </w:rPr>
      <w:t>1</w:t>
    </w:r>
    <w:r>
      <w:rPr>
        <w:rStyle w:val="Oldalszm"/>
      </w:rPr>
      <w:fldChar w:fldCharType="end"/>
    </w:r>
  </w:p>
  <w:p w:rsidR="00202A04" w:rsidRDefault="00202A04" w:rsidP="00202A04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DF" w:rsidRDefault="001D0CDF">
      <w:r>
        <w:separator/>
      </w:r>
    </w:p>
  </w:footnote>
  <w:footnote w:type="continuationSeparator" w:id="1">
    <w:p w:rsidR="001D0CDF" w:rsidRDefault="001D0CDF">
      <w:r>
        <w:continuationSeparator/>
      </w:r>
    </w:p>
  </w:footnote>
  <w:footnote w:id="2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Kihirdetve: 2013. XI. </w:t>
      </w:r>
      <w:smartTag w:uri="urn:schemas-microsoft-com:office:smarttags" w:element="metricconverter">
        <w:smartTagPr>
          <w:attr w:name="ProductID" w:val="8. A"/>
        </w:smartTagPr>
        <w:r w:rsidRPr="00202A04">
          <w:rPr>
            <w:sz w:val="16"/>
            <w:szCs w:val="16"/>
          </w:rPr>
          <w:t>8. A</w:t>
        </w:r>
      </w:smartTag>
      <w:r w:rsidRPr="00202A04">
        <w:rPr>
          <w:sz w:val="16"/>
          <w:szCs w:val="16"/>
        </w:rPr>
        <w:t xml:space="preserve"> veszélyhelyzet ideje alatt eltérő rendelkezéseket kell alkalmazni. Lásd: 181/2021. (IV. 16.) Korm. rendelet 1. § (3), 2021. évi XCIX. törvény 76. § (3).</w:t>
      </w:r>
    </w:p>
  </w:footnote>
  <w:footnote w:id="3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Módosította: </w:t>
      </w:r>
      <w:r w:rsidRPr="00202A04">
        <w:rPr>
          <w:b/>
          <w:sz w:val="16"/>
          <w:szCs w:val="16"/>
        </w:rPr>
        <w:t>2023. évi XXXIX. törvény 109. § a).</w:t>
      </w:r>
    </w:p>
  </w:footnote>
  <w:footnote w:id="4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Megállapította: 2019. évi LXVI. törvény 122. §. Hatályos: 2019. X. 1-től.</w:t>
      </w:r>
    </w:p>
  </w:footnote>
  <w:footnote w:id="5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Megállapította: 2019. évi LXVI. törvény 122. §. Hatályos: 2019. X. 1-től.</w:t>
      </w:r>
    </w:p>
  </w:footnote>
  <w:footnote w:id="6">
    <w:p w:rsidR="00202A04" w:rsidRPr="00202A04" w:rsidRDefault="00202A04" w:rsidP="00202A04">
      <w:pPr>
        <w:rPr>
          <w:b/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Beiktatta: 2023. évi XXXIX. törvény 105. </w:t>
      </w:r>
      <w:r w:rsidRPr="00202A04">
        <w:rPr>
          <w:b/>
          <w:sz w:val="16"/>
          <w:szCs w:val="16"/>
        </w:rPr>
        <w:t>§. Hatályos: 2024. I. 1-től.</w:t>
      </w:r>
    </w:p>
  </w:footnote>
  <w:footnote w:id="7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Módosította: </w:t>
      </w:r>
      <w:r w:rsidRPr="00202A04">
        <w:rPr>
          <w:b/>
          <w:sz w:val="16"/>
          <w:szCs w:val="16"/>
        </w:rPr>
        <w:t>2023. évi XXXIX. törvény 109. § b).</w:t>
      </w:r>
    </w:p>
  </w:footnote>
  <w:footnote w:id="8">
    <w:p w:rsidR="00202A04" w:rsidRPr="00202A04" w:rsidRDefault="00202A04" w:rsidP="00202A04">
      <w:pPr>
        <w:rPr>
          <w:sz w:val="16"/>
          <w:szCs w:val="16"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Megállapította: 2019. évi LXVI. törvény 123. §. Hatályos: 2019. X. 1-től.</w:t>
      </w:r>
    </w:p>
  </w:footnote>
  <w:footnote w:id="9">
    <w:p w:rsidR="00202A04" w:rsidRPr="00202A04" w:rsidRDefault="00202A04" w:rsidP="00202A04">
      <w:pPr>
        <w:rPr>
          <w:b/>
        </w:rPr>
      </w:pPr>
      <w:r w:rsidRPr="00202A04">
        <w:rPr>
          <w:sz w:val="16"/>
          <w:szCs w:val="16"/>
          <w:vertAlign w:val="superscript"/>
        </w:rPr>
        <w:footnoteRef/>
      </w:r>
      <w:r w:rsidRPr="00202A04">
        <w:rPr>
          <w:sz w:val="16"/>
          <w:szCs w:val="16"/>
        </w:rPr>
        <w:t xml:space="preserve"> Megállapította: 2023. évi XXXIX. törvény 106. §. </w:t>
      </w:r>
      <w:r w:rsidRPr="00202A04">
        <w:rPr>
          <w:b/>
          <w:sz w:val="16"/>
          <w:szCs w:val="16"/>
        </w:rPr>
        <w:t>Hatályos: 2024. I. 1-től.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A04"/>
    <w:rsid w:val="00134BD3"/>
    <w:rsid w:val="001D0CDF"/>
    <w:rsid w:val="001D6F4E"/>
    <w:rsid w:val="00202A04"/>
    <w:rsid w:val="00234967"/>
    <w:rsid w:val="003050F1"/>
    <w:rsid w:val="00317BA5"/>
    <w:rsid w:val="00480E0A"/>
    <w:rsid w:val="004B4BFD"/>
    <w:rsid w:val="004E7CEE"/>
    <w:rsid w:val="005A0459"/>
    <w:rsid w:val="005B5B7F"/>
    <w:rsid w:val="00641487"/>
    <w:rsid w:val="007C18D6"/>
    <w:rsid w:val="007F0EF4"/>
    <w:rsid w:val="008E5C5E"/>
    <w:rsid w:val="009A7C2F"/>
    <w:rsid w:val="00A8135C"/>
    <w:rsid w:val="00B8293D"/>
    <w:rsid w:val="00C95476"/>
    <w:rsid w:val="00CE10B6"/>
    <w:rsid w:val="00CE3A4B"/>
    <w:rsid w:val="00D033A5"/>
    <w:rsid w:val="00FE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202A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02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user</cp:lastModifiedBy>
  <cp:revision>2</cp:revision>
  <dcterms:created xsi:type="dcterms:W3CDTF">2023-07-04T06:34:00Z</dcterms:created>
  <dcterms:modified xsi:type="dcterms:W3CDTF">2023-07-04T06:34:00Z</dcterms:modified>
</cp:coreProperties>
</file>