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8E" w:rsidRPr="00E0528E" w:rsidRDefault="00E0528E" w:rsidP="00E0528E">
      <w:pPr>
        <w:jc w:val="center"/>
        <w:rPr>
          <w:b/>
        </w:rPr>
      </w:pPr>
      <w:r w:rsidRPr="00E0528E">
        <w:rPr>
          <w:b/>
        </w:rPr>
        <w:t>1990. évi XCIII. törvény</w:t>
      </w:r>
    </w:p>
    <w:p w:rsidR="00E0528E" w:rsidRPr="00E0528E" w:rsidRDefault="00E0528E" w:rsidP="00E0528E">
      <w:pPr>
        <w:jc w:val="center"/>
        <w:rPr>
          <w:b/>
        </w:rPr>
      </w:pPr>
      <w:r w:rsidRPr="00E0528E">
        <w:rPr>
          <w:b/>
        </w:rPr>
        <w:t>az illetékekről</w:t>
      </w:r>
      <w:r w:rsidRPr="00E0528E">
        <w:rPr>
          <w:b/>
        </w:rPr>
        <w:footnoteReference w:id="2"/>
      </w:r>
    </w:p>
    <w:p w:rsidR="00E0528E" w:rsidRPr="00E0528E" w:rsidRDefault="00E0528E" w:rsidP="00E0528E">
      <w:pPr>
        <w:jc w:val="center"/>
        <w:rPr>
          <w:b/>
        </w:rPr>
      </w:pPr>
      <w:r w:rsidRPr="00E0528E">
        <w:rPr>
          <w:b/>
        </w:rPr>
        <w:t>Az egyéni kisvállalkozói vagyon öröklési és ajándékozási illetékkedvezménye</w:t>
      </w:r>
      <w:r w:rsidRPr="00E0528E">
        <w:rPr>
          <w:b/>
        </w:rPr>
        <w:footnoteReference w:id="3"/>
      </w:r>
    </w:p>
    <w:p w:rsidR="00E0528E" w:rsidRDefault="00E0528E" w:rsidP="00E0528E">
      <w:pPr>
        <w:autoSpaceDE w:val="0"/>
        <w:autoSpaceDN w:val="0"/>
        <w:adjustRightInd w:val="0"/>
        <w:ind w:firstLine="204"/>
        <w:jc w:val="both"/>
      </w:pPr>
      <w:r w:rsidRPr="00E0528E">
        <w:rPr>
          <w:b/>
          <w:bCs/>
        </w:rPr>
        <w:t>17/B. §</w:t>
      </w:r>
      <w:r w:rsidRPr="00E0528E">
        <w:rPr>
          <w:b/>
          <w:bCs/>
          <w:vertAlign w:val="superscript"/>
        </w:rPr>
        <w:footnoteReference w:id="4"/>
      </w:r>
      <w:r w:rsidRPr="00E0528E">
        <w:rPr>
          <w:b/>
          <w:bCs/>
        </w:rPr>
        <w:t xml:space="preserve"> </w:t>
      </w:r>
      <w:r>
        <w:t>(1)</w:t>
      </w:r>
      <w:r w:rsidRPr="00E0528E">
        <w:rPr>
          <w:vertAlign w:val="superscript"/>
        </w:rPr>
        <w:footnoteReference w:id="5"/>
      </w:r>
      <w:r>
        <w:t xml:space="preserve"> A kisvállalkozásra vonatkozó feltételeknek megfelelő egyéni vállalkozó kizárólag üzleti célt szolgáló vállalkozói vagyonának öröklése, továbbá - az ajándékozó kisvállalkozásának megszüntetésére való tekintettel - az ilyen vagyonnak az egyéni vállalkozás megszüntetését követő három hónapon belüli ajándékozása esetén a magánszemély örökös, illetve a magánszemély megajándékozott az általa megszerzett vállalkozói vagyon forgalmi értékéből a (4)-(5) bekezdésben meghatározott illetékalap-kedvezményre jogosult. A kedvezmény igénybevételének feltétele, hogy a vagyonszerző - öröklés esetén a hagyatékátadó végzés jogerőre emelkedésétől, ajándékozás esetén az ajándék elfogadásától számított - 30 napon belül</w:t>
      </w:r>
    </w:p>
    <w:p w:rsidR="00E0528E" w:rsidRDefault="00E0528E" w:rsidP="00E0528E">
      <w:pPr>
        <w:autoSpaceDE w:val="0"/>
        <w:autoSpaceDN w:val="0"/>
        <w:adjustRightInd w:val="0"/>
        <w:ind w:firstLine="204"/>
        <w:jc w:val="both"/>
      </w:pPr>
      <w:r w:rsidRPr="00E0528E">
        <w:rPr>
          <w:i/>
          <w:iCs/>
        </w:rPr>
        <w:t xml:space="preserve">a) </w:t>
      </w:r>
      <w:r>
        <w:t>a vállalkozási tevékenységet egyéni vállalkozóként megkezdje, vagy</w:t>
      </w:r>
    </w:p>
    <w:p w:rsidR="00E0528E" w:rsidRDefault="00E0528E" w:rsidP="00E0528E">
      <w:pPr>
        <w:autoSpaceDE w:val="0"/>
        <w:autoSpaceDN w:val="0"/>
        <w:adjustRightInd w:val="0"/>
        <w:ind w:firstLine="204"/>
        <w:jc w:val="both"/>
      </w:pPr>
      <w:r w:rsidRPr="00E0528E">
        <w:rPr>
          <w:i/>
          <w:iCs/>
        </w:rPr>
        <w:t xml:space="preserve">b) </w:t>
      </w:r>
      <w:r>
        <w:t>a megszerzett vállalkozói vagyont egyéni cége, illetve többségi tulajdonában álló gazdasági társasága részére nem pénzbeli hozzájárulásként átadja,</w:t>
      </w:r>
    </w:p>
    <w:p w:rsidR="00E0528E" w:rsidRDefault="00E0528E" w:rsidP="00E0528E">
      <w:pPr>
        <w:autoSpaceDE w:val="0"/>
        <w:autoSpaceDN w:val="0"/>
        <w:adjustRightInd w:val="0"/>
        <w:jc w:val="both"/>
      </w:pPr>
      <w:r>
        <w:t>és a fizetési meghagyás véglegessé válása évének utolsó napjától számított legalább három évig a vállalkozási tevékenységet nem szünteti meg, illetve egyéni cégében fennálló vagyoni betétjét nem idegeníti el vagy a többségi tulajdonában álló gazdasági társaságban fennálló részesedésének arányát nem csökkenti.</w:t>
      </w:r>
      <w:r w:rsidRPr="00E0528E">
        <w:rPr>
          <w:vertAlign w:val="superscript"/>
        </w:rPr>
        <w:footnoteReference w:id="6"/>
      </w:r>
    </w:p>
    <w:p w:rsidR="00E0528E" w:rsidRDefault="00E0528E" w:rsidP="00E0528E">
      <w:pPr>
        <w:autoSpaceDE w:val="0"/>
        <w:autoSpaceDN w:val="0"/>
        <w:adjustRightInd w:val="0"/>
        <w:ind w:firstLine="204"/>
        <w:jc w:val="both"/>
      </w:pPr>
      <w:r>
        <w:t>(2) Az (1) bekezdés szerinti kedvezmény akkor vehető igénybe, ha</w:t>
      </w:r>
    </w:p>
    <w:p w:rsidR="00E0528E" w:rsidRDefault="00E0528E" w:rsidP="00E0528E">
      <w:pPr>
        <w:autoSpaceDE w:val="0"/>
        <w:autoSpaceDN w:val="0"/>
        <w:adjustRightInd w:val="0"/>
        <w:ind w:firstLine="204"/>
        <w:jc w:val="both"/>
      </w:pPr>
      <w:r w:rsidRPr="00E0528E">
        <w:rPr>
          <w:i/>
          <w:iCs/>
        </w:rPr>
        <w:t>a)</w:t>
      </w:r>
      <w:r w:rsidRPr="00E0528E">
        <w:rPr>
          <w:i/>
          <w:iCs/>
          <w:vertAlign w:val="superscript"/>
        </w:rPr>
        <w:footnoteReference w:id="7"/>
      </w:r>
      <w:r w:rsidRPr="00E0528E">
        <w:rPr>
          <w:i/>
          <w:iCs/>
        </w:rPr>
        <w:t xml:space="preserve"> </w:t>
      </w:r>
      <w:r>
        <w:t>öröklés esetén a magánszemély örökös a hagyatéki tárgyaláson az (1) bekezdés szerinti feltételek vállalásáról nyilatkozatot tesz. A nyilatkozatot a közjegyző köteles jegyzőkönyvbe foglalni, és a jegyzőkönyv hiteles másolatát a teljes hatályú hagyatékátadó végzéshez csatolva megküldeni az állami adóhatóságnak;</w:t>
      </w:r>
    </w:p>
    <w:p w:rsidR="00E0528E" w:rsidRDefault="00E0528E" w:rsidP="00E0528E">
      <w:pPr>
        <w:autoSpaceDE w:val="0"/>
        <w:autoSpaceDN w:val="0"/>
        <w:adjustRightInd w:val="0"/>
        <w:ind w:firstLine="204"/>
        <w:jc w:val="both"/>
      </w:pPr>
      <w:r w:rsidRPr="00E0528E">
        <w:rPr>
          <w:i/>
          <w:iCs/>
        </w:rPr>
        <w:t xml:space="preserve">b) </w:t>
      </w:r>
      <w:r>
        <w:t>ajándékozás esetén az ajándékozó a kisvállalkozói tevékenység megszüntetéséről, a magánszemély megajándékozott az (1) bekezdés szerinti feltételek vállalásáról a vagyonszerzés bejelentéséig nyilatkozatot tesz az állami adóhatóságnál.</w:t>
      </w:r>
    </w:p>
    <w:p w:rsidR="00E0528E" w:rsidRDefault="00E0528E" w:rsidP="00E0528E">
      <w:pPr>
        <w:autoSpaceDE w:val="0"/>
        <w:autoSpaceDN w:val="0"/>
        <w:adjustRightInd w:val="0"/>
        <w:ind w:firstLine="204"/>
        <w:jc w:val="both"/>
      </w:pPr>
      <w:r>
        <w:t>(3)</w:t>
      </w:r>
      <w:r w:rsidRPr="00E0528E">
        <w:rPr>
          <w:vertAlign w:val="superscript"/>
        </w:rPr>
        <w:footnoteReference w:id="8"/>
      </w:r>
    </w:p>
    <w:p w:rsidR="00E0528E" w:rsidRDefault="00E0528E" w:rsidP="00E0528E">
      <w:pPr>
        <w:autoSpaceDE w:val="0"/>
        <w:autoSpaceDN w:val="0"/>
        <w:adjustRightInd w:val="0"/>
        <w:ind w:firstLine="204"/>
        <w:jc w:val="both"/>
      </w:pPr>
      <w:r>
        <w:t>(4)</w:t>
      </w:r>
      <w:r w:rsidRPr="00E0528E">
        <w:rPr>
          <w:vertAlign w:val="superscript"/>
        </w:rPr>
        <w:footnoteReference w:id="9"/>
      </w:r>
      <w:r>
        <w:t xml:space="preserve"> A vállalkozói vagyon tulajdonjogát megszerző magánszemély örökös esetén a vállalkozói vagyon után az őt egyébként terhelő öröklési illeték alapját 25%-kal, de legfeljebb 2,5 millió forinttal csökkentett összegben kell megállapítani.</w:t>
      </w:r>
    </w:p>
    <w:p w:rsidR="00E0528E" w:rsidRDefault="00E0528E" w:rsidP="00E0528E">
      <w:pPr>
        <w:autoSpaceDE w:val="0"/>
        <w:autoSpaceDN w:val="0"/>
        <w:adjustRightInd w:val="0"/>
        <w:ind w:firstLine="204"/>
        <w:jc w:val="both"/>
      </w:pPr>
      <w:r w:rsidRPr="00E0528E">
        <w:rPr>
          <w:b/>
        </w:rPr>
        <w:t>(5)</w:t>
      </w:r>
      <w:r w:rsidRPr="00E0528E">
        <w:rPr>
          <w:b/>
          <w:vertAlign w:val="superscript"/>
        </w:rPr>
        <w:footnoteReference w:id="10"/>
      </w:r>
      <w:r w:rsidRPr="00E0528E">
        <w:rPr>
          <w:b/>
        </w:rPr>
        <w:t xml:space="preserve"> A</w:t>
      </w:r>
      <w:r>
        <w:t xml:space="preserve"> vállalkozói vagyon tulajdonjogát, építményi jogát vagy haszonélvezeti jogát ajándékozás útján megszerző magánszemély esetén a vállalkozói vagyon után az őt egyébként terhelő ajándékozási illeték alapját 25%-kal, de legfeljebb 2,5 millió forinttal csökkentett összegben kell megállapítani.</w:t>
      </w:r>
    </w:p>
    <w:p w:rsidR="00E0528E" w:rsidRDefault="00E0528E" w:rsidP="00E0528E">
      <w:pPr>
        <w:autoSpaceDE w:val="0"/>
        <w:autoSpaceDN w:val="0"/>
        <w:adjustRightInd w:val="0"/>
        <w:ind w:firstLine="204"/>
        <w:jc w:val="both"/>
      </w:pPr>
      <w:r>
        <w:t>(6)</w:t>
      </w:r>
      <w:r w:rsidRPr="00E0528E">
        <w:rPr>
          <w:vertAlign w:val="superscript"/>
        </w:rPr>
        <w:footnoteReference w:id="11"/>
      </w:r>
      <w:r>
        <w:t xml:space="preserve"> Ha a (4)-(5) bekezdés szerinti kedvezményben részesülő vagyonszerző az (1) bekezdés </w:t>
      </w:r>
      <w:r w:rsidRPr="00E0528E">
        <w:rPr>
          <w:i/>
          <w:iCs/>
        </w:rPr>
        <w:t xml:space="preserve">a)-b) </w:t>
      </w:r>
      <w:r>
        <w:t xml:space="preserve">pontjai szerinti feltételeket nem teljesíti, továbbá az (1) bekezdés szerinti 3 éves időtartam letelte előtt a vállalkozási tevékenységet a gazdasági tevékenységgel együtt járó üzleti </w:t>
      </w:r>
      <w:r>
        <w:lastRenderedPageBreak/>
        <w:t>kockázaton túlmutató elháríthatatlan külső ok hiányában megszünteti, vagy egyéni cégében fennálló vagyoni betétjét elidegeníti, illetve a többségi tulajdonában álló gazdasági társaságban fennálló részesedésének arányát csökkenti, az általa igénybe vett illetékkedvezmény alapján élvezett illetékteher-csökkenés összegének kétszeresét köteles pótlólag megfizetni.</w:t>
      </w:r>
    </w:p>
    <w:p w:rsidR="00E0528E" w:rsidRPr="00E0528E" w:rsidRDefault="00E0528E" w:rsidP="00E0528E">
      <w:pPr>
        <w:jc w:val="center"/>
        <w:rPr>
          <w:b/>
        </w:rPr>
      </w:pPr>
      <w:r w:rsidRPr="00E0528E">
        <w:rPr>
          <w:b/>
        </w:rPr>
        <w:t>Az illeték tárgya</w:t>
      </w:r>
    </w:p>
    <w:p w:rsidR="00E0528E" w:rsidRDefault="00E0528E" w:rsidP="00E0528E">
      <w:pPr>
        <w:autoSpaceDE w:val="0"/>
        <w:autoSpaceDN w:val="0"/>
        <w:adjustRightInd w:val="0"/>
        <w:ind w:firstLine="204"/>
        <w:jc w:val="both"/>
      </w:pPr>
      <w:r w:rsidRPr="00E0528E">
        <w:rPr>
          <w:b/>
          <w:bCs/>
        </w:rPr>
        <w:t xml:space="preserve">18. § </w:t>
      </w:r>
      <w:r>
        <w:t>(1)</w:t>
      </w:r>
      <w:r w:rsidRPr="00E0528E">
        <w:rPr>
          <w:vertAlign w:val="superscript"/>
        </w:rPr>
        <w:footnoteReference w:id="12"/>
      </w:r>
      <w:r>
        <w:t xml:space="preserve"> Ingatlannak, valamint a (2) bekezdésben meghatározott ingónak és vagyoni értékű jognak visszteher mellett, továbbá öröklési vagy ajándékozási illeték alá nem eső, más módon történő megszerzése visszterhes vagyonátruházási illeték alá esik. Ezt a szabályt kell alkalmazni az ingatlanok, illetve a gépjárművek (pótkocsik) pénzügyi lízingjére vonatkozó, a futamidő végén tulajdonjog átszállást eredményező szerződések esetén, továbbá az öröklési szerződés alapján történő vagyonszerzésre is azzal, hogy az öröklési szerződés tekintetében az illetékkötelezettség keletkezésére a 3. § (1) bekezdése az irányadó.</w:t>
      </w:r>
    </w:p>
    <w:p w:rsidR="00E0528E" w:rsidRDefault="00E0528E" w:rsidP="00E0528E">
      <w:pPr>
        <w:autoSpaceDE w:val="0"/>
        <w:autoSpaceDN w:val="0"/>
        <w:adjustRightInd w:val="0"/>
        <w:ind w:firstLine="204"/>
        <w:jc w:val="both"/>
      </w:pPr>
      <w:r>
        <w:t>(1a)</w:t>
      </w:r>
      <w:r w:rsidRPr="00E0528E">
        <w:rPr>
          <w:vertAlign w:val="superscript"/>
        </w:rPr>
        <w:footnoteReference w:id="13"/>
      </w:r>
      <w:r>
        <w:t xml:space="preserve"> A visszterhes vagyonátruházási illeték alá esik</w:t>
      </w:r>
    </w:p>
    <w:p w:rsidR="00E0528E" w:rsidRDefault="00E0528E" w:rsidP="00E0528E">
      <w:pPr>
        <w:autoSpaceDE w:val="0"/>
        <w:autoSpaceDN w:val="0"/>
        <w:adjustRightInd w:val="0"/>
        <w:ind w:firstLine="204"/>
        <w:jc w:val="both"/>
      </w:pPr>
      <w:r w:rsidRPr="00E0528E">
        <w:rPr>
          <w:i/>
          <w:iCs/>
        </w:rPr>
        <w:t xml:space="preserve">a) </w:t>
      </w:r>
      <w:r>
        <w:t>a belterületbe vont ingatlan,</w:t>
      </w:r>
    </w:p>
    <w:p w:rsidR="00E0528E" w:rsidRDefault="00E0528E" w:rsidP="00E0528E">
      <w:pPr>
        <w:autoSpaceDE w:val="0"/>
        <w:autoSpaceDN w:val="0"/>
        <w:adjustRightInd w:val="0"/>
        <w:ind w:firstLine="204"/>
        <w:jc w:val="both"/>
      </w:pPr>
      <w:r w:rsidRPr="00E0528E">
        <w:rPr>
          <w:i/>
          <w:iCs/>
        </w:rPr>
        <w:t xml:space="preserve">b) </w:t>
      </w:r>
      <w:r>
        <w:t>a belterületbe vont ingatlannal rendelkező társaság vagyoni betétjének</w:t>
      </w:r>
    </w:p>
    <w:p w:rsidR="00E0528E" w:rsidRDefault="00E0528E" w:rsidP="00E0528E">
      <w:pPr>
        <w:autoSpaceDE w:val="0"/>
        <w:autoSpaceDN w:val="0"/>
        <w:adjustRightInd w:val="0"/>
        <w:jc w:val="both"/>
      </w:pPr>
      <w:r>
        <w:t>visszterhes átruházása.</w:t>
      </w:r>
    </w:p>
    <w:p w:rsidR="00E0528E" w:rsidRDefault="00E0528E" w:rsidP="00E0528E">
      <w:pPr>
        <w:autoSpaceDE w:val="0"/>
        <w:autoSpaceDN w:val="0"/>
        <w:adjustRightInd w:val="0"/>
        <w:ind w:firstLine="204"/>
        <w:jc w:val="both"/>
      </w:pPr>
      <w:r>
        <w:t>(2) Az illetékfizetési kötelezettség a következő vagyoni értékű jogokra és ingókra terjed ki:</w:t>
      </w:r>
    </w:p>
    <w:p w:rsidR="00E0528E" w:rsidRDefault="00E0528E" w:rsidP="00E0528E">
      <w:pPr>
        <w:autoSpaceDE w:val="0"/>
        <w:autoSpaceDN w:val="0"/>
        <w:adjustRightInd w:val="0"/>
        <w:ind w:firstLine="204"/>
        <w:jc w:val="both"/>
      </w:pPr>
      <w:r w:rsidRPr="00E0528E">
        <w:rPr>
          <w:i/>
          <w:iCs/>
        </w:rPr>
        <w:t xml:space="preserve">a) </w:t>
      </w:r>
      <w:r>
        <w:t>az ingatlanhoz kapcsolódó vagyoni értékű jog megszerzése, továbbá e jognak a megszüntetése folytán bekövetkező vagyonszerzés;</w:t>
      </w:r>
    </w:p>
    <w:p w:rsidR="00E0528E" w:rsidRDefault="00E0528E" w:rsidP="00E0528E">
      <w:pPr>
        <w:autoSpaceDE w:val="0"/>
        <w:autoSpaceDN w:val="0"/>
        <w:adjustRightInd w:val="0"/>
        <w:ind w:firstLine="204"/>
        <w:jc w:val="both"/>
      </w:pPr>
      <w:r w:rsidRPr="00E0528E">
        <w:rPr>
          <w:i/>
          <w:iCs/>
        </w:rPr>
        <w:t>b)</w:t>
      </w:r>
      <w:r w:rsidRPr="00E0528E">
        <w:rPr>
          <w:i/>
          <w:iCs/>
          <w:vertAlign w:val="superscript"/>
        </w:rPr>
        <w:footnoteReference w:id="14"/>
      </w:r>
      <w:r w:rsidRPr="00E0528E">
        <w:rPr>
          <w:i/>
          <w:iCs/>
        </w:rPr>
        <w:t xml:space="preserve"> </w:t>
      </w:r>
      <w:r>
        <w:t>az ingatlanon fennálló építményi jog, haszonélvezet gyakorlásának átengedése;</w:t>
      </w:r>
    </w:p>
    <w:p w:rsidR="00E0528E" w:rsidRDefault="00E0528E" w:rsidP="00E0528E">
      <w:pPr>
        <w:autoSpaceDE w:val="0"/>
        <w:autoSpaceDN w:val="0"/>
        <w:adjustRightInd w:val="0"/>
        <w:ind w:firstLine="204"/>
        <w:jc w:val="both"/>
      </w:pPr>
      <w:r w:rsidRPr="00E0528E">
        <w:rPr>
          <w:i/>
          <w:iCs/>
        </w:rPr>
        <w:t xml:space="preserve">c) </w:t>
      </w:r>
      <w:r>
        <w:t>ingónak hatósági árverésen történő megszerzése;</w:t>
      </w:r>
    </w:p>
    <w:p w:rsidR="00E0528E" w:rsidRDefault="00E0528E" w:rsidP="00E0528E">
      <w:pPr>
        <w:autoSpaceDE w:val="0"/>
        <w:autoSpaceDN w:val="0"/>
        <w:adjustRightInd w:val="0"/>
        <w:ind w:firstLine="204"/>
        <w:jc w:val="both"/>
      </w:pPr>
      <w:r w:rsidRPr="00E0528E">
        <w:rPr>
          <w:i/>
          <w:iCs/>
        </w:rPr>
        <w:t>d)</w:t>
      </w:r>
      <w:r w:rsidRPr="00E0528E">
        <w:rPr>
          <w:i/>
          <w:iCs/>
          <w:vertAlign w:val="superscript"/>
        </w:rPr>
        <w:footnoteReference w:id="15"/>
      </w:r>
      <w:r w:rsidRPr="00E0528E">
        <w:rPr>
          <w:i/>
          <w:iCs/>
        </w:rPr>
        <w:t xml:space="preserve"> </w:t>
      </w:r>
      <w:r>
        <w:t>gépjármű, illetőleg pótkocsi tulajdonjogának, vagyoni értékű jogának megszerzése;</w:t>
      </w:r>
    </w:p>
    <w:p w:rsidR="00E0528E" w:rsidRDefault="00E0528E" w:rsidP="00E0528E">
      <w:pPr>
        <w:autoSpaceDE w:val="0"/>
        <w:autoSpaceDN w:val="0"/>
        <w:adjustRightInd w:val="0"/>
        <w:ind w:firstLine="204"/>
        <w:jc w:val="both"/>
      </w:pPr>
      <w:r w:rsidRPr="00E0528E">
        <w:rPr>
          <w:i/>
          <w:iCs/>
        </w:rPr>
        <w:t>e)</w:t>
      </w:r>
      <w:r w:rsidRPr="00E0528E">
        <w:rPr>
          <w:i/>
          <w:iCs/>
          <w:vertAlign w:val="superscript"/>
        </w:rPr>
        <w:footnoteReference w:id="16"/>
      </w:r>
      <w:r w:rsidRPr="00E0528E">
        <w:rPr>
          <w:i/>
          <w:iCs/>
        </w:rPr>
        <w:t xml:space="preserve"> </w:t>
      </w:r>
      <w:r>
        <w:t>közterületen álló, ingatlannak nem minősülő felépítmény tulajdonjogának, vagyoni értékű jogának megszerzése;</w:t>
      </w:r>
    </w:p>
    <w:p w:rsidR="00E0528E" w:rsidRDefault="00E0528E" w:rsidP="00E0528E">
      <w:pPr>
        <w:autoSpaceDE w:val="0"/>
        <w:autoSpaceDN w:val="0"/>
        <w:adjustRightInd w:val="0"/>
        <w:ind w:firstLine="204"/>
        <w:jc w:val="both"/>
      </w:pPr>
      <w:r w:rsidRPr="00E0528E">
        <w:rPr>
          <w:i/>
          <w:iCs/>
        </w:rPr>
        <w:t>f)</w:t>
      </w:r>
      <w:r w:rsidRPr="00E0528E">
        <w:rPr>
          <w:i/>
          <w:iCs/>
          <w:vertAlign w:val="superscript"/>
        </w:rPr>
        <w:footnoteReference w:id="17"/>
      </w:r>
    </w:p>
    <w:p w:rsidR="00E0528E" w:rsidRDefault="00E0528E" w:rsidP="00E0528E">
      <w:pPr>
        <w:autoSpaceDE w:val="0"/>
        <w:autoSpaceDN w:val="0"/>
        <w:adjustRightInd w:val="0"/>
        <w:ind w:firstLine="204"/>
        <w:jc w:val="both"/>
      </w:pPr>
      <w:r w:rsidRPr="00E0528E">
        <w:rPr>
          <w:i/>
          <w:iCs/>
        </w:rPr>
        <w:t>g)</w:t>
      </w:r>
      <w:r w:rsidRPr="00E0528E">
        <w:rPr>
          <w:i/>
          <w:iCs/>
          <w:vertAlign w:val="superscript"/>
        </w:rPr>
        <w:footnoteReference w:id="18"/>
      </w:r>
      <w:r w:rsidRPr="00E0528E">
        <w:rPr>
          <w:i/>
          <w:iCs/>
        </w:rPr>
        <w:t xml:space="preserve"> </w:t>
      </w:r>
      <w:r>
        <w:t>az értékpapír öröklési szerződéssel való megszerzése;</w:t>
      </w:r>
    </w:p>
    <w:p w:rsidR="00E0528E" w:rsidRDefault="00E0528E" w:rsidP="00E0528E">
      <w:pPr>
        <w:autoSpaceDE w:val="0"/>
        <w:autoSpaceDN w:val="0"/>
        <w:adjustRightInd w:val="0"/>
        <w:ind w:firstLine="204"/>
        <w:jc w:val="both"/>
      </w:pPr>
      <w:r w:rsidRPr="00E0528E">
        <w:rPr>
          <w:i/>
          <w:iCs/>
        </w:rPr>
        <w:t>h)</w:t>
      </w:r>
      <w:r w:rsidRPr="00E0528E">
        <w:rPr>
          <w:i/>
          <w:iCs/>
          <w:vertAlign w:val="superscript"/>
        </w:rPr>
        <w:footnoteReference w:id="19"/>
      </w:r>
      <w:r w:rsidRPr="00E0528E">
        <w:rPr>
          <w:i/>
          <w:iCs/>
        </w:rPr>
        <w:t xml:space="preserve"> </w:t>
      </w:r>
      <w:r>
        <w:t>belföldi ingatlanvagyonnal rendelkező társaságban fennálló vagyoni betét (részvény, üzletrész, szövetkezeti részesedés, átalakított befektetői részjegy) megszerzésére.</w:t>
      </w:r>
    </w:p>
    <w:p w:rsidR="00E0528E" w:rsidRDefault="00E0528E" w:rsidP="00E0528E">
      <w:pPr>
        <w:autoSpaceDE w:val="0"/>
        <w:autoSpaceDN w:val="0"/>
        <w:adjustRightInd w:val="0"/>
        <w:ind w:firstLine="204"/>
        <w:jc w:val="both"/>
      </w:pPr>
      <w:r>
        <w:t>(3)</w:t>
      </w:r>
      <w:r w:rsidRPr="00E0528E">
        <w:rPr>
          <w:vertAlign w:val="superscript"/>
        </w:rPr>
        <w:footnoteReference w:id="20"/>
      </w:r>
      <w:r>
        <w:t xml:space="preserve"> Nem tárgya a visszterhes vagyonátruházási illetéknek az ingatlan tulajdonosának az a vagyonszerzése, mely az ingatlanát terhelő építményi jognak, haszonélvezetnek, használat jogának a jogosult halála, illetőleg - özvegyi jog esetén - új házasság kötése folytán történő megszűnésével következik be, továbbá a feltétel bekövetkezésétől függő vagy a meghatározott időre kikötött építményi jognak, haszonélvezetnek, használat jogának a feltétel bekövetkeztével, illetve a meghatározott idő elteltével bekövetkező megszűnése.</w:t>
      </w:r>
    </w:p>
    <w:p w:rsidR="00E0528E" w:rsidRDefault="00E0528E" w:rsidP="00E0528E">
      <w:pPr>
        <w:autoSpaceDE w:val="0"/>
        <w:autoSpaceDN w:val="0"/>
        <w:adjustRightInd w:val="0"/>
        <w:ind w:firstLine="204"/>
        <w:jc w:val="both"/>
      </w:pPr>
      <w:r>
        <w:t>(4)</w:t>
      </w:r>
      <w:r w:rsidRPr="00E0528E">
        <w:rPr>
          <w:vertAlign w:val="superscript"/>
        </w:rPr>
        <w:footnoteReference w:id="21"/>
      </w:r>
      <w:r>
        <w:t xml:space="preserve"> A (2) bekezdés </w:t>
      </w:r>
      <w:r w:rsidRPr="00E0528E">
        <w:rPr>
          <w:i/>
          <w:iCs/>
        </w:rPr>
        <w:t xml:space="preserve">h) </w:t>
      </w:r>
      <w:r>
        <w:t>pontjában foglalt vagyonszerzés után akkor kell az illetéket megfizetni, ha</w:t>
      </w:r>
    </w:p>
    <w:p w:rsidR="00E0528E" w:rsidRDefault="00E0528E" w:rsidP="00E0528E">
      <w:pPr>
        <w:autoSpaceDE w:val="0"/>
        <w:autoSpaceDN w:val="0"/>
        <w:adjustRightInd w:val="0"/>
        <w:ind w:firstLine="204"/>
        <w:jc w:val="both"/>
      </w:pPr>
      <w:r w:rsidRPr="00E0528E">
        <w:rPr>
          <w:i/>
          <w:iCs/>
        </w:rPr>
        <w:t xml:space="preserve">a) </w:t>
      </w:r>
      <w:r>
        <w:t>a vagyonszerző, illetve - magánszemély vagyonszerző esetén - annak házastársa, bejegyzett élettársa, gyermeke, szülője,</w:t>
      </w:r>
    </w:p>
    <w:p w:rsidR="00E0528E" w:rsidRDefault="00E0528E" w:rsidP="00E0528E">
      <w:pPr>
        <w:autoSpaceDE w:val="0"/>
        <w:autoSpaceDN w:val="0"/>
        <w:adjustRightInd w:val="0"/>
        <w:ind w:firstLine="204"/>
        <w:jc w:val="both"/>
      </w:pPr>
      <w:r w:rsidRPr="00E0528E">
        <w:rPr>
          <w:i/>
          <w:iCs/>
        </w:rPr>
        <w:lastRenderedPageBreak/>
        <w:t xml:space="preserve">b) </w:t>
      </w:r>
      <w:r>
        <w:t xml:space="preserve">az </w:t>
      </w:r>
      <w:r w:rsidRPr="00E0528E">
        <w:rPr>
          <w:i/>
          <w:iCs/>
        </w:rPr>
        <w:t xml:space="preserve">a) </w:t>
      </w:r>
      <w:r>
        <w:t>pontban felsoroltak - önálló vagy együttes - többségi tulajdonában álló gazdálkodó szervezet,</w:t>
      </w:r>
    </w:p>
    <w:p w:rsidR="00E0528E" w:rsidRDefault="00E0528E" w:rsidP="00E0528E">
      <w:pPr>
        <w:autoSpaceDE w:val="0"/>
        <w:autoSpaceDN w:val="0"/>
        <w:adjustRightInd w:val="0"/>
        <w:ind w:firstLine="204"/>
        <w:jc w:val="both"/>
      </w:pPr>
      <w:r w:rsidRPr="00E0528E">
        <w:rPr>
          <w:i/>
          <w:iCs/>
        </w:rPr>
        <w:t>c)</w:t>
      </w:r>
      <w:r w:rsidRPr="00E0528E">
        <w:rPr>
          <w:i/>
          <w:iCs/>
          <w:vertAlign w:val="superscript"/>
        </w:rPr>
        <w:footnoteReference w:id="22"/>
      </w:r>
      <w:r w:rsidRPr="00E0528E">
        <w:rPr>
          <w:i/>
          <w:iCs/>
        </w:rPr>
        <w:t xml:space="preserve"> </w:t>
      </w:r>
      <w:r>
        <w:t xml:space="preserve">az </w:t>
      </w:r>
      <w:r w:rsidRPr="00E0528E">
        <w:rPr>
          <w:i/>
          <w:iCs/>
        </w:rPr>
        <w:t xml:space="preserve">a) </w:t>
      </w:r>
      <w:r>
        <w:t xml:space="preserve">és </w:t>
      </w:r>
      <w:r w:rsidRPr="00E0528E">
        <w:rPr>
          <w:i/>
          <w:iCs/>
        </w:rPr>
        <w:t xml:space="preserve">b) </w:t>
      </w:r>
      <w:r>
        <w:t>pontban felsoroltakkal a társasági adóról és az osztalékadóról szóló törvény szerinti kapcsolt vállalkozási viszonyban lévő személy,</w:t>
      </w:r>
    </w:p>
    <w:p w:rsidR="00E0528E" w:rsidRDefault="00E0528E" w:rsidP="00E0528E">
      <w:pPr>
        <w:autoSpaceDE w:val="0"/>
        <w:autoSpaceDN w:val="0"/>
        <w:adjustRightInd w:val="0"/>
        <w:jc w:val="both"/>
      </w:pPr>
      <w:r>
        <w:t>tulajdonában álló vagyoni betétek aránya önállóan vagy együttesen eléri vagy meghaladja az összes vagyoni betét 75%-át.</w:t>
      </w:r>
    </w:p>
    <w:p w:rsidR="00E0528E" w:rsidRPr="00E0528E" w:rsidRDefault="00E0528E" w:rsidP="00E0528E">
      <w:pPr>
        <w:jc w:val="center"/>
        <w:rPr>
          <w:b/>
        </w:rPr>
      </w:pPr>
      <w:r w:rsidRPr="00E0528E">
        <w:rPr>
          <w:b/>
        </w:rPr>
        <w:t>Az illeték általános mértéke</w:t>
      </w:r>
    </w:p>
    <w:p w:rsidR="00E0528E" w:rsidRDefault="00E0528E" w:rsidP="00E0528E">
      <w:pPr>
        <w:autoSpaceDE w:val="0"/>
        <w:autoSpaceDN w:val="0"/>
        <w:adjustRightInd w:val="0"/>
        <w:ind w:firstLine="204"/>
        <w:jc w:val="both"/>
      </w:pPr>
      <w:r w:rsidRPr="00E0528E">
        <w:rPr>
          <w:b/>
          <w:bCs/>
        </w:rPr>
        <w:t xml:space="preserve">19. § </w:t>
      </w:r>
      <w:r>
        <w:t>(1)</w:t>
      </w:r>
      <w:r w:rsidRPr="00E0528E">
        <w:rPr>
          <w:vertAlign w:val="superscript"/>
        </w:rPr>
        <w:footnoteReference w:id="23"/>
      </w:r>
      <w:r>
        <w:t xml:space="preserve"> A visszterhes vagyonátruházási illeték általános mértéke - ha a törvény másként nem rendelkezik - a megszerzett vagyon terhekkel nem csökkentett forgalmi értéke után 4%, ingatlan, illetve belföldi ingatlanvagyonnal rendelkező társaságban fennálló vagyoni betét megszerzése esetén ingatlanonként 1 milliárd forintig 4%, a forgalmi érték ezt meghaladó része után 2%, de ingatlanonként legfeljebb 200 millió forint. Ingatlan résztulajdonának szerzése esetén az 1 milliárd forintnak a szerzett tulajdoni hányaddal arányos összegére kell alkalmazni a 4%-os illetéket, illetve az ingatlanonként legfeljebb 200 millió forintot a tulajdoni hányad arányában kell figyelembe venni. Ingatlanhoz kapcsolódó vagyoni értékű jog megszerzése esetén az illetékalapból az 1 milliárd forint olyan arányára kell alkalmazni a 4%-os illetékmértéket, illetve a 200 millió forint olyan arányát kell figyelembe venni, mint amilyen arányt a vagyoni értékű jog értéke képvisel az ingatlan forgalmi értékében. Vagyoni értékű joggal terhelt ingatlan - ideértve a tulajdonszerzéssel egyidejűleg alapított vagyoni értékű jogot, de ide nem értve az építményi jogot - szerzése esetén a vagyoni értékű jog értékével csökkentett forgalmi értékből az 1 milliárd forint olyan hányadára kell alkalmazni a 4%-os illetékmértéket, illetve a 200 millió forint olyan hányadát kell figyelembe venni, mint amilyen arányt a tulajdonjog értéke képvisel az ingatlan forgalmi értékében.</w:t>
      </w:r>
    </w:p>
    <w:p w:rsidR="00E0528E" w:rsidRPr="00E0528E" w:rsidRDefault="00E0528E" w:rsidP="00E0528E">
      <w:pPr>
        <w:jc w:val="center"/>
        <w:rPr>
          <w:b/>
        </w:rPr>
      </w:pPr>
      <w:r w:rsidRPr="00E0528E">
        <w:rPr>
          <w:b/>
        </w:rPr>
        <w:t>A vagyoni értékű jogok értékének megállapítása</w:t>
      </w:r>
    </w:p>
    <w:p w:rsidR="00E0528E" w:rsidRDefault="00E0528E" w:rsidP="00E0528E">
      <w:pPr>
        <w:autoSpaceDE w:val="0"/>
        <w:autoSpaceDN w:val="0"/>
        <w:adjustRightInd w:val="0"/>
        <w:ind w:firstLine="204"/>
        <w:jc w:val="both"/>
      </w:pPr>
      <w:r w:rsidRPr="00E0528E">
        <w:rPr>
          <w:b/>
          <w:bCs/>
        </w:rPr>
        <w:t xml:space="preserve">72. § </w:t>
      </w:r>
      <w:r w:rsidRPr="00E0528E">
        <w:rPr>
          <w:b/>
        </w:rPr>
        <w:t>(1)</w:t>
      </w:r>
      <w:r w:rsidRPr="00E0528E">
        <w:rPr>
          <w:b/>
          <w:vertAlign w:val="superscript"/>
        </w:rPr>
        <w:footnoteReference w:id="24"/>
      </w:r>
      <w:r w:rsidRPr="00E0528E">
        <w:t xml:space="preserve"> A vagyoni</w:t>
      </w:r>
      <w:r>
        <w:t xml:space="preserve"> értékű jogok - kivéve az építményi jogot - egy évi értékéül az ezzel terhelt dolog - terhekkel nem csökkentett - forgalmi értékének egyhuszad részét kell tekinteni.</w:t>
      </w:r>
    </w:p>
    <w:p w:rsidR="00E0528E" w:rsidRDefault="00E0528E" w:rsidP="00E0528E">
      <w:pPr>
        <w:autoSpaceDE w:val="0"/>
        <w:autoSpaceDN w:val="0"/>
        <w:adjustRightInd w:val="0"/>
        <w:ind w:firstLine="204"/>
        <w:jc w:val="both"/>
      </w:pPr>
      <w:r w:rsidRPr="00E0528E">
        <w:rPr>
          <w:b/>
        </w:rPr>
        <w:t>(2)</w:t>
      </w:r>
      <w:r w:rsidRPr="00E0528E">
        <w:rPr>
          <w:b/>
          <w:vertAlign w:val="superscript"/>
        </w:rPr>
        <w:footnoteReference w:id="25"/>
      </w:r>
      <w:r>
        <w:t xml:space="preserve"> A meghatározott időre szóló vagyoni értékű jog - kivéve az építményi jogot - értéke az egyévi érték és a kikötött évek szorzata. A jog így számított értéke azonban nem haladhatja meg az egyévi érték 20-szorosát, illetve természetes személy javára kikötött haszonélvezet, használat joga esetén az egyévi értéknek a (4) bekezdés </w:t>
      </w:r>
      <w:r w:rsidRPr="00E0528E">
        <w:rPr>
          <w:i/>
          <w:iCs/>
        </w:rPr>
        <w:t xml:space="preserve">a) </w:t>
      </w:r>
      <w:r>
        <w:t>pontjában meghatározott életkor szerinti többszörösét.</w:t>
      </w:r>
    </w:p>
    <w:p w:rsidR="00E0528E" w:rsidRDefault="00E0528E" w:rsidP="00E0528E">
      <w:pPr>
        <w:autoSpaceDE w:val="0"/>
        <w:autoSpaceDN w:val="0"/>
        <w:adjustRightInd w:val="0"/>
        <w:ind w:firstLine="204"/>
        <w:jc w:val="both"/>
      </w:pPr>
      <w:r w:rsidRPr="00E0528E">
        <w:rPr>
          <w:b/>
        </w:rPr>
        <w:t>(3)</w:t>
      </w:r>
      <w:r w:rsidRPr="00E0528E">
        <w:rPr>
          <w:b/>
          <w:vertAlign w:val="superscript"/>
        </w:rPr>
        <w:footnoteReference w:id="26"/>
      </w:r>
      <w:r>
        <w:t xml:space="preserve"> A bizonytalan időre terjedő vagyoni értékű jog - kivéve az építményi jogot - esetében a jog értéke - a (4) bekezdésben foglaltak kivételével - az egy évi érték ötszöröse.</w:t>
      </w:r>
    </w:p>
    <w:p w:rsidR="00E0528E" w:rsidRDefault="00E0528E" w:rsidP="00E0528E">
      <w:pPr>
        <w:autoSpaceDE w:val="0"/>
        <w:autoSpaceDN w:val="0"/>
        <w:adjustRightInd w:val="0"/>
        <w:ind w:firstLine="204"/>
        <w:jc w:val="both"/>
      </w:pPr>
      <w:r w:rsidRPr="00E0528E">
        <w:rPr>
          <w:b/>
        </w:rPr>
        <w:t>(4)</w:t>
      </w:r>
      <w:r>
        <w:t xml:space="preserve"> Ha a vagyoni értékű jog - kivéve az építményi jogot - valamely személy életének, házasságának vagy özvegységének idejére terjed, annak értékét az illető személy életkorához képest a következő módon kell megállapítani:</w:t>
      </w:r>
      <w:r w:rsidRPr="00E0528E">
        <w:rPr>
          <w:vertAlign w:val="superscript"/>
        </w:rPr>
        <w:footnoteReference w:id="27"/>
      </w:r>
    </w:p>
    <w:p w:rsidR="00E0528E" w:rsidRDefault="00E0528E" w:rsidP="00E0528E">
      <w:pPr>
        <w:autoSpaceDE w:val="0"/>
        <w:autoSpaceDN w:val="0"/>
        <w:adjustRightInd w:val="0"/>
        <w:ind w:firstLine="204"/>
        <w:jc w:val="both"/>
      </w:pPr>
      <w:r w:rsidRPr="00E0528E">
        <w:rPr>
          <w:i/>
          <w:iCs/>
        </w:rPr>
        <w:t>a)</w:t>
      </w:r>
      <w:r w:rsidRPr="00E0528E">
        <w:rPr>
          <w:i/>
          <w:iCs/>
          <w:vertAlign w:val="superscript"/>
        </w:rPr>
        <w:footnoteReference w:id="28"/>
      </w:r>
      <w:r w:rsidRPr="00E0528E">
        <w:rPr>
          <w:i/>
          <w:iCs/>
        </w:rPr>
        <w:t xml:space="preserve"> </w:t>
      </w:r>
      <w:r>
        <w:t xml:space="preserve">ha a vagyoni értékű jog jogosultja: </w:t>
      </w:r>
    </w:p>
    <w:tbl>
      <w:tblPr>
        <w:tblW w:w="0" w:type="auto"/>
        <w:tblLayout w:type="fixed"/>
        <w:tblCellMar>
          <w:left w:w="0" w:type="dxa"/>
          <w:right w:w="0" w:type="dxa"/>
        </w:tblCellMar>
        <w:tblLook w:val="0000"/>
      </w:tblPr>
      <w:tblGrid>
        <w:gridCol w:w="3400"/>
        <w:gridCol w:w="1260"/>
      </w:tblGrid>
      <w:tr w:rsidR="00E0528E" w:rsidRPr="00E0528E">
        <w:tblPrEx>
          <w:tblCellMar>
            <w:top w:w="0" w:type="dxa"/>
            <w:left w:w="0" w:type="dxa"/>
            <w:bottom w:w="0" w:type="dxa"/>
            <w:right w:w="0" w:type="dxa"/>
          </w:tblCellMar>
        </w:tblPrEx>
        <w:tc>
          <w:tcPr>
            <w:tcW w:w="3400" w:type="dxa"/>
            <w:tcBorders>
              <w:top w:val="nil"/>
              <w:left w:val="nil"/>
              <w:bottom w:val="nil"/>
              <w:right w:val="nil"/>
            </w:tcBorders>
          </w:tcPr>
          <w:p w:rsidR="00E0528E" w:rsidRPr="00E0528E" w:rsidRDefault="00E0528E" w:rsidP="00E0528E">
            <w:pPr>
              <w:autoSpaceDE w:val="0"/>
              <w:autoSpaceDN w:val="0"/>
              <w:adjustRightInd w:val="0"/>
              <w:ind w:firstLine="204"/>
              <w:rPr>
                <w:sz w:val="20"/>
                <w:szCs w:val="20"/>
              </w:rPr>
            </w:pPr>
            <w:r w:rsidRPr="00E0528E">
              <w:rPr>
                <w:sz w:val="20"/>
                <w:szCs w:val="20"/>
              </w:rPr>
              <w:t xml:space="preserve"> 25 évesnél fiatalabb, az egyévi érték</w:t>
            </w:r>
          </w:p>
        </w:tc>
        <w:tc>
          <w:tcPr>
            <w:tcW w:w="1260" w:type="dxa"/>
            <w:tcBorders>
              <w:top w:val="nil"/>
              <w:left w:val="nil"/>
              <w:bottom w:val="nil"/>
              <w:right w:val="nil"/>
            </w:tcBorders>
          </w:tcPr>
          <w:p w:rsidR="00E0528E" w:rsidRPr="00E0528E" w:rsidRDefault="00E0528E" w:rsidP="00E0528E">
            <w:pPr>
              <w:autoSpaceDE w:val="0"/>
              <w:autoSpaceDN w:val="0"/>
              <w:adjustRightInd w:val="0"/>
              <w:ind w:firstLine="204"/>
              <w:jc w:val="right"/>
              <w:rPr>
                <w:sz w:val="20"/>
                <w:szCs w:val="20"/>
              </w:rPr>
            </w:pPr>
            <w:r w:rsidRPr="00E0528E">
              <w:rPr>
                <w:sz w:val="20"/>
                <w:szCs w:val="20"/>
              </w:rPr>
              <w:t xml:space="preserve"> 10-szerese, </w:t>
            </w:r>
          </w:p>
        </w:tc>
      </w:tr>
      <w:tr w:rsidR="00E0528E" w:rsidRPr="00E0528E">
        <w:tblPrEx>
          <w:tblCellMar>
            <w:top w:w="0" w:type="dxa"/>
            <w:left w:w="0" w:type="dxa"/>
            <w:bottom w:w="0" w:type="dxa"/>
            <w:right w:w="0" w:type="dxa"/>
          </w:tblCellMar>
        </w:tblPrEx>
        <w:tc>
          <w:tcPr>
            <w:tcW w:w="3400" w:type="dxa"/>
            <w:tcBorders>
              <w:top w:val="nil"/>
              <w:left w:val="nil"/>
              <w:bottom w:val="nil"/>
              <w:right w:val="nil"/>
            </w:tcBorders>
          </w:tcPr>
          <w:p w:rsidR="00E0528E" w:rsidRPr="00E0528E" w:rsidRDefault="00E0528E" w:rsidP="00E0528E">
            <w:pPr>
              <w:autoSpaceDE w:val="0"/>
              <w:autoSpaceDN w:val="0"/>
              <w:adjustRightInd w:val="0"/>
              <w:ind w:firstLine="204"/>
              <w:rPr>
                <w:sz w:val="20"/>
                <w:szCs w:val="20"/>
              </w:rPr>
            </w:pPr>
            <w:r w:rsidRPr="00E0528E">
              <w:rPr>
                <w:sz w:val="20"/>
                <w:szCs w:val="20"/>
              </w:rPr>
              <w:t xml:space="preserve"> 25-50 éves, az egyévi érték</w:t>
            </w:r>
          </w:p>
        </w:tc>
        <w:tc>
          <w:tcPr>
            <w:tcW w:w="1260" w:type="dxa"/>
            <w:tcBorders>
              <w:top w:val="nil"/>
              <w:left w:val="nil"/>
              <w:bottom w:val="nil"/>
              <w:right w:val="nil"/>
            </w:tcBorders>
          </w:tcPr>
          <w:p w:rsidR="00E0528E" w:rsidRPr="00E0528E" w:rsidRDefault="00E0528E" w:rsidP="00E0528E">
            <w:pPr>
              <w:autoSpaceDE w:val="0"/>
              <w:autoSpaceDN w:val="0"/>
              <w:adjustRightInd w:val="0"/>
              <w:ind w:firstLine="204"/>
              <w:jc w:val="right"/>
              <w:rPr>
                <w:sz w:val="20"/>
                <w:szCs w:val="20"/>
              </w:rPr>
            </w:pPr>
            <w:r w:rsidRPr="00E0528E">
              <w:rPr>
                <w:sz w:val="20"/>
                <w:szCs w:val="20"/>
              </w:rPr>
              <w:t xml:space="preserve"> 8-szorosa, </w:t>
            </w:r>
          </w:p>
        </w:tc>
      </w:tr>
      <w:tr w:rsidR="00E0528E" w:rsidRPr="00E0528E">
        <w:tblPrEx>
          <w:tblCellMar>
            <w:top w:w="0" w:type="dxa"/>
            <w:left w:w="0" w:type="dxa"/>
            <w:bottom w:w="0" w:type="dxa"/>
            <w:right w:w="0" w:type="dxa"/>
          </w:tblCellMar>
        </w:tblPrEx>
        <w:tc>
          <w:tcPr>
            <w:tcW w:w="3400" w:type="dxa"/>
            <w:tcBorders>
              <w:top w:val="nil"/>
              <w:left w:val="nil"/>
              <w:bottom w:val="nil"/>
              <w:right w:val="nil"/>
            </w:tcBorders>
          </w:tcPr>
          <w:p w:rsidR="00E0528E" w:rsidRPr="00E0528E" w:rsidRDefault="00E0528E" w:rsidP="00E0528E">
            <w:pPr>
              <w:autoSpaceDE w:val="0"/>
              <w:autoSpaceDN w:val="0"/>
              <w:adjustRightInd w:val="0"/>
              <w:ind w:firstLine="204"/>
              <w:rPr>
                <w:sz w:val="20"/>
                <w:szCs w:val="20"/>
              </w:rPr>
            </w:pPr>
            <w:r w:rsidRPr="00E0528E">
              <w:rPr>
                <w:sz w:val="20"/>
                <w:szCs w:val="20"/>
              </w:rPr>
              <w:t xml:space="preserve"> 51-65 éves, az egyévi érték</w:t>
            </w:r>
          </w:p>
        </w:tc>
        <w:tc>
          <w:tcPr>
            <w:tcW w:w="1260" w:type="dxa"/>
            <w:tcBorders>
              <w:top w:val="nil"/>
              <w:left w:val="nil"/>
              <w:bottom w:val="nil"/>
              <w:right w:val="nil"/>
            </w:tcBorders>
          </w:tcPr>
          <w:p w:rsidR="00E0528E" w:rsidRPr="00E0528E" w:rsidRDefault="00E0528E" w:rsidP="00E0528E">
            <w:pPr>
              <w:autoSpaceDE w:val="0"/>
              <w:autoSpaceDN w:val="0"/>
              <w:adjustRightInd w:val="0"/>
              <w:ind w:firstLine="204"/>
              <w:jc w:val="right"/>
              <w:rPr>
                <w:sz w:val="20"/>
                <w:szCs w:val="20"/>
              </w:rPr>
            </w:pPr>
            <w:r w:rsidRPr="00E0528E">
              <w:rPr>
                <w:sz w:val="20"/>
                <w:szCs w:val="20"/>
              </w:rPr>
              <w:t xml:space="preserve"> 6-szorosa, </w:t>
            </w:r>
          </w:p>
        </w:tc>
      </w:tr>
      <w:tr w:rsidR="00E0528E" w:rsidRPr="00E0528E">
        <w:tblPrEx>
          <w:tblCellMar>
            <w:top w:w="0" w:type="dxa"/>
            <w:left w:w="0" w:type="dxa"/>
            <w:bottom w:w="0" w:type="dxa"/>
            <w:right w:w="0" w:type="dxa"/>
          </w:tblCellMar>
        </w:tblPrEx>
        <w:tc>
          <w:tcPr>
            <w:tcW w:w="3400" w:type="dxa"/>
            <w:tcBorders>
              <w:top w:val="nil"/>
              <w:left w:val="nil"/>
              <w:bottom w:val="nil"/>
              <w:right w:val="nil"/>
            </w:tcBorders>
          </w:tcPr>
          <w:p w:rsidR="00E0528E" w:rsidRPr="00E0528E" w:rsidRDefault="00E0528E" w:rsidP="00E0528E">
            <w:pPr>
              <w:autoSpaceDE w:val="0"/>
              <w:autoSpaceDN w:val="0"/>
              <w:adjustRightInd w:val="0"/>
              <w:ind w:firstLine="204"/>
              <w:rPr>
                <w:sz w:val="20"/>
                <w:szCs w:val="20"/>
              </w:rPr>
            </w:pPr>
            <w:r w:rsidRPr="00E0528E">
              <w:rPr>
                <w:sz w:val="20"/>
                <w:szCs w:val="20"/>
              </w:rPr>
              <w:t xml:space="preserve"> 65 évnél idősebb, az egyévi érték</w:t>
            </w:r>
          </w:p>
        </w:tc>
        <w:tc>
          <w:tcPr>
            <w:tcW w:w="1260" w:type="dxa"/>
            <w:tcBorders>
              <w:top w:val="nil"/>
              <w:left w:val="nil"/>
              <w:bottom w:val="nil"/>
              <w:right w:val="nil"/>
            </w:tcBorders>
          </w:tcPr>
          <w:p w:rsidR="00E0528E" w:rsidRPr="00E0528E" w:rsidRDefault="00E0528E" w:rsidP="00E0528E">
            <w:pPr>
              <w:autoSpaceDE w:val="0"/>
              <w:autoSpaceDN w:val="0"/>
              <w:adjustRightInd w:val="0"/>
              <w:ind w:firstLine="204"/>
              <w:jc w:val="right"/>
              <w:rPr>
                <w:sz w:val="20"/>
                <w:szCs w:val="20"/>
              </w:rPr>
            </w:pPr>
            <w:r w:rsidRPr="00E0528E">
              <w:rPr>
                <w:sz w:val="20"/>
                <w:szCs w:val="20"/>
              </w:rPr>
              <w:t xml:space="preserve"> 4-szerese; </w:t>
            </w:r>
          </w:p>
        </w:tc>
      </w:tr>
    </w:tbl>
    <w:p w:rsidR="00E0528E" w:rsidRDefault="00E0528E" w:rsidP="00E0528E">
      <w:pPr>
        <w:autoSpaceDE w:val="0"/>
        <w:autoSpaceDN w:val="0"/>
        <w:adjustRightInd w:val="0"/>
        <w:ind w:firstLine="204"/>
        <w:jc w:val="both"/>
      </w:pPr>
      <w:r w:rsidRPr="00E0528E">
        <w:rPr>
          <w:i/>
          <w:iCs/>
        </w:rPr>
        <w:lastRenderedPageBreak/>
        <w:t xml:space="preserve">b) </w:t>
      </w:r>
      <w:r>
        <w:t xml:space="preserve">ha a vagyoni értékű jog tartama mind a jogosult, mind a kötelezett élete, házassága vagy özvegysége idejétől függ, az </w:t>
      </w:r>
      <w:r w:rsidRPr="00E0528E">
        <w:rPr>
          <w:i/>
          <w:iCs/>
        </w:rPr>
        <w:t xml:space="preserve">a) </w:t>
      </w:r>
      <w:r>
        <w:t>pontban megállapított szorzók alkalmazásánál a két személy közül az idősebbnek az életkora az irányadó;</w:t>
      </w:r>
    </w:p>
    <w:p w:rsidR="00E0528E" w:rsidRDefault="00E0528E" w:rsidP="00E0528E">
      <w:pPr>
        <w:autoSpaceDE w:val="0"/>
        <w:autoSpaceDN w:val="0"/>
        <w:adjustRightInd w:val="0"/>
        <w:ind w:firstLine="204"/>
        <w:jc w:val="both"/>
      </w:pPr>
      <w:r w:rsidRPr="00E0528E">
        <w:rPr>
          <w:i/>
          <w:iCs/>
        </w:rPr>
        <w:t>c)</w:t>
      </w:r>
      <w:r w:rsidRPr="00E0528E">
        <w:rPr>
          <w:i/>
          <w:iCs/>
          <w:vertAlign w:val="superscript"/>
        </w:rPr>
        <w:footnoteReference w:id="29"/>
      </w:r>
      <w:r w:rsidRPr="00E0528E">
        <w:rPr>
          <w:i/>
          <w:iCs/>
        </w:rPr>
        <w:t xml:space="preserve"> </w:t>
      </w:r>
      <w:r>
        <w:t>ha a vagyoni értékű jog tartama több egyidejűleg jogosult személy élettartamától függ, mégpedig oly módon, hogy a jogosultság a legelőször elhalt személy halálával megszűnik, az értékelésnél a legidősebb személy életkora az irányadó; ha pedig a jogosultság a legutóbb elhalt személy haláláig tart, a kiszámítás a legfiatalabb személy életkora szerint történik. Az így kapott értéket, mint illetékalapot az egyes jogosultak között olyan arányban kell megosztani, mint amilyen arányt az életkoruk szerint számított vagyoni értékű jog értéke ezek együttes értékében képvisel;</w:t>
      </w:r>
    </w:p>
    <w:p w:rsidR="00E0528E" w:rsidRDefault="00E0528E" w:rsidP="00E0528E">
      <w:pPr>
        <w:autoSpaceDE w:val="0"/>
        <w:autoSpaceDN w:val="0"/>
        <w:adjustRightInd w:val="0"/>
        <w:ind w:firstLine="204"/>
        <w:jc w:val="both"/>
      </w:pPr>
      <w:r w:rsidRPr="00E0528E">
        <w:rPr>
          <w:i/>
          <w:iCs/>
        </w:rPr>
        <w:t xml:space="preserve">d) </w:t>
      </w:r>
      <w:r>
        <w:t>ha a vagyoni értékű jog tartama a házasság idejére terjed, a kiszámításnál az idősebb házastárs életkora az irányadó.</w:t>
      </w:r>
    </w:p>
    <w:p w:rsidR="00E0528E" w:rsidRDefault="00E0528E" w:rsidP="00E0528E">
      <w:pPr>
        <w:autoSpaceDE w:val="0"/>
        <w:autoSpaceDN w:val="0"/>
        <w:adjustRightInd w:val="0"/>
        <w:ind w:firstLine="204"/>
        <w:jc w:val="both"/>
      </w:pPr>
      <w:r>
        <w:t>(5)</w:t>
      </w:r>
      <w:r w:rsidRPr="00E0528E">
        <w:rPr>
          <w:vertAlign w:val="superscript"/>
        </w:rPr>
        <w:footnoteReference w:id="30"/>
      </w:r>
      <w:r>
        <w:t xml:space="preserve"> Az időleges üdülőhasználati jog és a szállás időben megosztott használati jogának értéke: e jogok egy évi értékének [72. § (1) bekezdés] annyiszor háromszázhatvanötöd része, ahány nap megszerzéséről szól a szerződés. Egyebekben a 72. § (2)-(3) bekezdésében foglaltak az irányadóak.</w:t>
      </w:r>
    </w:p>
    <w:p w:rsidR="00E0528E" w:rsidRDefault="00E0528E" w:rsidP="00E0528E">
      <w:pPr>
        <w:autoSpaceDE w:val="0"/>
        <w:autoSpaceDN w:val="0"/>
        <w:adjustRightInd w:val="0"/>
        <w:ind w:firstLine="204"/>
        <w:jc w:val="both"/>
      </w:pPr>
      <w:r w:rsidRPr="00E0528E">
        <w:rPr>
          <w:b/>
        </w:rPr>
        <w:t>(6)</w:t>
      </w:r>
      <w:r w:rsidRPr="00E0528E">
        <w:rPr>
          <w:b/>
          <w:vertAlign w:val="superscript"/>
        </w:rPr>
        <w:footnoteReference w:id="31"/>
      </w:r>
      <w:r>
        <w:t xml:space="preserve"> Az építményi jog értéke megegyezik e jog forgalmi értékével.</w:t>
      </w:r>
    </w:p>
    <w:p w:rsidR="00E0528E" w:rsidRDefault="00E0528E" w:rsidP="00E0528E">
      <w:pPr>
        <w:autoSpaceDE w:val="0"/>
        <w:autoSpaceDN w:val="0"/>
        <w:adjustRightInd w:val="0"/>
        <w:spacing w:before="240" w:after="240"/>
        <w:jc w:val="center"/>
      </w:pPr>
      <w:r w:rsidRPr="00E0528E">
        <w:rPr>
          <w:b/>
          <w:bCs/>
          <w:sz w:val="28"/>
          <w:szCs w:val="28"/>
        </w:rPr>
        <w:t>Értelmező rendelkezések</w:t>
      </w:r>
    </w:p>
    <w:p w:rsidR="00E0528E" w:rsidRDefault="00E0528E" w:rsidP="00E0528E">
      <w:pPr>
        <w:autoSpaceDE w:val="0"/>
        <w:autoSpaceDN w:val="0"/>
        <w:adjustRightInd w:val="0"/>
        <w:ind w:firstLine="204"/>
        <w:jc w:val="both"/>
      </w:pPr>
      <w:r w:rsidRPr="00E0528E">
        <w:rPr>
          <w:b/>
          <w:bCs/>
        </w:rPr>
        <w:t xml:space="preserve">102. § </w:t>
      </w:r>
      <w:r>
        <w:t>(1) E törvény alkalmazásában</w:t>
      </w:r>
    </w:p>
    <w:p w:rsidR="00E0528E" w:rsidRDefault="00E0528E" w:rsidP="00E0528E">
      <w:pPr>
        <w:autoSpaceDE w:val="0"/>
        <w:autoSpaceDN w:val="0"/>
        <w:adjustRightInd w:val="0"/>
        <w:ind w:firstLine="204"/>
        <w:jc w:val="both"/>
      </w:pPr>
      <w:r w:rsidRPr="00E0528E">
        <w:rPr>
          <w:i/>
          <w:iCs/>
        </w:rPr>
        <w:t xml:space="preserve">a) vagyon: </w:t>
      </w:r>
      <w:r>
        <w:t>az ingatlan, az ingó, a vagyoni értékű jog;</w:t>
      </w:r>
    </w:p>
    <w:p w:rsidR="00E0528E" w:rsidRDefault="00E0528E" w:rsidP="00E0528E">
      <w:pPr>
        <w:autoSpaceDE w:val="0"/>
        <w:autoSpaceDN w:val="0"/>
        <w:adjustRightInd w:val="0"/>
        <w:ind w:firstLine="204"/>
        <w:jc w:val="both"/>
      </w:pPr>
      <w:r w:rsidRPr="00E0528E">
        <w:rPr>
          <w:i/>
          <w:iCs/>
        </w:rPr>
        <w:t xml:space="preserve">b) ingatlan: </w:t>
      </w:r>
      <w:r>
        <w:t>a föld és a földdel alkotórészi kapcsolatban álló minden dolog;</w:t>
      </w:r>
    </w:p>
    <w:p w:rsidR="00E0528E" w:rsidRDefault="00E0528E" w:rsidP="00E0528E">
      <w:pPr>
        <w:autoSpaceDE w:val="0"/>
        <w:autoSpaceDN w:val="0"/>
        <w:adjustRightInd w:val="0"/>
        <w:ind w:firstLine="204"/>
        <w:jc w:val="both"/>
      </w:pPr>
      <w:r w:rsidRPr="00E0528E">
        <w:rPr>
          <w:i/>
          <w:iCs/>
        </w:rPr>
        <w:t>c)</w:t>
      </w:r>
      <w:r w:rsidRPr="00E0528E">
        <w:rPr>
          <w:i/>
          <w:iCs/>
          <w:vertAlign w:val="superscript"/>
        </w:rPr>
        <w:footnoteReference w:id="32"/>
      </w:r>
      <w:r w:rsidRPr="00E0528E">
        <w:rPr>
          <w:i/>
          <w:iCs/>
        </w:rPr>
        <w:t xml:space="preserve"> ingó: </w:t>
      </w:r>
      <w:r>
        <w:t>a fizetőeszköz, az értékpapír, a gazdálkodó szervezetben fennálló vagyoni betét, valamint mindaz, ami ingatlannak nem minősülő dolog;</w:t>
      </w:r>
    </w:p>
    <w:p w:rsidR="00E0528E" w:rsidRDefault="00E0528E" w:rsidP="00E0528E">
      <w:pPr>
        <w:autoSpaceDE w:val="0"/>
        <w:autoSpaceDN w:val="0"/>
        <w:adjustRightInd w:val="0"/>
        <w:ind w:firstLine="204"/>
        <w:jc w:val="both"/>
      </w:pPr>
      <w:r w:rsidRPr="00E0528E">
        <w:rPr>
          <w:i/>
          <w:iCs/>
        </w:rPr>
        <w:t>d)</w:t>
      </w:r>
      <w:r w:rsidRPr="00E0528E">
        <w:rPr>
          <w:i/>
          <w:iCs/>
          <w:vertAlign w:val="superscript"/>
        </w:rPr>
        <w:footnoteReference w:id="33"/>
      </w:r>
      <w:r w:rsidRPr="00E0528E">
        <w:rPr>
          <w:i/>
          <w:iCs/>
        </w:rPr>
        <w:t xml:space="preserve"> vagyoni értékű jog: </w:t>
      </w:r>
      <w:r>
        <w:t>az építményi jog, a földhasználat, a haszonélvezet, a használat joga - ideértve az üdülőhasználati jogot és a szállás időben megosztott használati jogát is -, a vagyonkezelői jog, az üzembentartói jog, továbbá ingyenes vagyonszerzés esetén a követelés;</w:t>
      </w:r>
    </w:p>
    <w:p w:rsidR="00E0528E" w:rsidRDefault="00E0528E" w:rsidP="00E0528E">
      <w:pPr>
        <w:autoSpaceDE w:val="0"/>
        <w:autoSpaceDN w:val="0"/>
        <w:adjustRightInd w:val="0"/>
        <w:ind w:firstLine="204"/>
        <w:jc w:val="both"/>
      </w:pPr>
      <w:r w:rsidRPr="00E0528E">
        <w:rPr>
          <w:i/>
          <w:iCs/>
        </w:rPr>
        <w:t>e)</w:t>
      </w:r>
      <w:r w:rsidRPr="00E0528E">
        <w:rPr>
          <w:i/>
          <w:iCs/>
          <w:vertAlign w:val="superscript"/>
        </w:rPr>
        <w:footnoteReference w:id="34"/>
      </w:r>
      <w:r w:rsidRPr="00E0528E">
        <w:rPr>
          <w:i/>
          <w:iCs/>
        </w:rPr>
        <w:t xml:space="preserve"> forgalmi érték: </w:t>
      </w:r>
      <w:r>
        <w:t>az a pénzben kifejezett érték, amely a vagyontárgy eladása esetén az illetékkötelezettség keletkezésekor volt állapotában - a vagyontárgyat terhelő adósságok, továbbá az ingatlanon a vagyonszerző javára az elidegenítéskor megszűnő bérleti jog figyelembevétele nélkül - árként általában elérhető, azzal, hogy:</w:t>
      </w:r>
    </w:p>
    <w:p w:rsidR="00E0528E" w:rsidRDefault="00E0528E" w:rsidP="00E0528E">
      <w:pPr>
        <w:autoSpaceDE w:val="0"/>
        <w:autoSpaceDN w:val="0"/>
        <w:adjustRightInd w:val="0"/>
        <w:ind w:firstLine="204"/>
        <w:jc w:val="both"/>
      </w:pPr>
      <w:r w:rsidRPr="00E0528E">
        <w:rPr>
          <w:i/>
          <w:iCs/>
        </w:rPr>
        <w:t xml:space="preserve">ea) </w:t>
      </w:r>
      <w:r>
        <w:t>vagyontárgy kiadására vonatkozó követelés esetén a vagyontárgy illetékkötelezettség keletkezésének napján fennálló forgalmi értéke;</w:t>
      </w:r>
    </w:p>
    <w:p w:rsidR="00E0528E" w:rsidRDefault="00E0528E" w:rsidP="00E0528E">
      <w:pPr>
        <w:autoSpaceDE w:val="0"/>
        <w:autoSpaceDN w:val="0"/>
        <w:adjustRightInd w:val="0"/>
        <w:ind w:firstLine="204"/>
        <w:jc w:val="both"/>
      </w:pPr>
      <w:r w:rsidRPr="00E0528E">
        <w:rPr>
          <w:i/>
          <w:iCs/>
        </w:rPr>
        <w:t xml:space="preserve">eb) </w:t>
      </w:r>
      <w:r>
        <w:t>szolgáltatás nyújtására irányuló követelés esetén a szolgáltatás - független felek közötti ügylet estén irányadó - pénzben kifejezhető értéke,</w:t>
      </w:r>
    </w:p>
    <w:p w:rsidR="00E0528E" w:rsidRDefault="00E0528E" w:rsidP="00E0528E">
      <w:pPr>
        <w:autoSpaceDE w:val="0"/>
        <w:autoSpaceDN w:val="0"/>
        <w:adjustRightInd w:val="0"/>
        <w:ind w:firstLine="204"/>
        <w:jc w:val="both"/>
      </w:pPr>
      <w:r w:rsidRPr="00E0528E">
        <w:rPr>
          <w:i/>
          <w:iCs/>
        </w:rPr>
        <w:t xml:space="preserve">ec) </w:t>
      </w:r>
      <w:r>
        <w:t xml:space="preserve">tagsági jogviszonyt megtestesítő értékpapír, valamint üzletrész, vagyoni betét esetén az illetékkötelezettség keletkezésének napján érvényes tőzsdei átlagár alapján számított érték. Ennek hiányában annak a gazdasági társaságnak, szövetkezetnek, egyéb jogi személynek - amelyben a </w:t>
      </w:r>
      <w:r>
        <w:lastRenderedPageBreak/>
        <w:t>vagyonszerző tagsági jogot szerzett - az illetékkötelezettség keletkezésének napján rendelkezésre álló, a gazdasági társaság, szövetkezet, egyéb jogi személy arra feljogosított döntéshozó szerve által elfogadott utolsó számviteli beszámoló mérlegében (ilyen mérleg hiányában az alapításkori nyitó vagyonmérlegében, az illetékkötelezettség keletkezésekor felszámolás alatt álló gazdasági társaság, szövetkezet, egyéb jogi személy esetén a felszámolás kezdő napját megelőző napra elkészített zárómérlegében) szereplő saját tőke mérleg szerinti értékének a megszerzett értékpapírra, üzletrészre, vagyoni betétre jutó hányada,</w:t>
      </w:r>
    </w:p>
    <w:p w:rsidR="00E0528E" w:rsidRDefault="00E0528E" w:rsidP="00E0528E">
      <w:pPr>
        <w:autoSpaceDE w:val="0"/>
        <w:autoSpaceDN w:val="0"/>
        <w:adjustRightInd w:val="0"/>
        <w:ind w:firstLine="204"/>
        <w:jc w:val="both"/>
      </w:pPr>
      <w:r w:rsidRPr="00E0528E">
        <w:rPr>
          <w:i/>
          <w:iCs/>
        </w:rPr>
        <w:t>ed)</w:t>
      </w:r>
      <w:r w:rsidRPr="00E0528E">
        <w:rPr>
          <w:i/>
          <w:iCs/>
          <w:vertAlign w:val="superscript"/>
        </w:rPr>
        <w:footnoteReference w:id="35"/>
      </w:r>
      <w:r w:rsidRPr="00E0528E">
        <w:rPr>
          <w:i/>
          <w:iCs/>
        </w:rPr>
        <w:t xml:space="preserve"> </w:t>
      </w:r>
      <w:r>
        <w:t xml:space="preserve">a belföldi ingatlanvagyonnal rendelkező társaság esetén a társaság ingatlanvagyonának forgalmi értéke a társaság tulajdonában lévő ingatlanok forgalmi értéke, növelve a társaság közvetett vagy közvetlen 75%-os tulajdonában álló gazdálkodó szervezetek tulajdonában álló ingatlanok forgalmi értékének olyan arányával, mint amekkora arányt az </w:t>
      </w:r>
      <w:r w:rsidRPr="00E0528E">
        <w:rPr>
          <w:i/>
          <w:iCs/>
        </w:rPr>
        <w:t xml:space="preserve">o) </w:t>
      </w:r>
      <w:r>
        <w:t>pontban foglaltak alapján a társaság közvetett vagy közvetlen részesedése a gazdálkodó szervezet összes vagyoni betétjéhez képest képvisel;</w:t>
      </w:r>
    </w:p>
    <w:p w:rsidR="00E0528E" w:rsidRDefault="00E0528E" w:rsidP="00E0528E">
      <w:pPr>
        <w:autoSpaceDE w:val="0"/>
        <w:autoSpaceDN w:val="0"/>
        <w:adjustRightInd w:val="0"/>
        <w:ind w:firstLine="204"/>
        <w:jc w:val="both"/>
      </w:pPr>
      <w:r w:rsidRPr="00E0528E">
        <w:rPr>
          <w:i/>
          <w:iCs/>
        </w:rPr>
        <w:t>f)</w:t>
      </w:r>
      <w:r w:rsidRPr="00E0528E">
        <w:rPr>
          <w:i/>
          <w:iCs/>
          <w:vertAlign w:val="superscript"/>
        </w:rPr>
        <w:footnoteReference w:id="36"/>
      </w:r>
      <w:r w:rsidRPr="00E0528E">
        <w:rPr>
          <w:i/>
          <w:iCs/>
        </w:rPr>
        <w:t xml:space="preserve"> lakástulajdon: </w:t>
      </w:r>
      <w:r>
        <w:t>lakás céljára létesített és az ingatlan-nyilvántartásban lakóház vagy lakás megnevezéssel nyilvántartott vagy ilyenként feltüntetésre váró ingatlan a hozzá tartozó földrészlettel. Lakásnak minősül az építési engedély szerint lakóház céljára létesülő építmény is, amennyiben annak készültségi foka a szerkezetkész állapotot (elkészült és ráépített tetőszerkezet) eléri. Ha az ingatlan-nyilvántartásban tanyaként feltüntetett földrészleten lakóház van, az épületet - a hozzá tartozó kivett területtel együtt - lakástulajdonnak kell tekinteni. Nem minősül lakástulajdonnak a lakóépülethez tartozó földrészleten létesített, a lakás rendeltetésszerű használatához nem szükséges helyiség még akkor sem, ha az a lakóépülettel egybeépült (garázs, műhely, üzlet, gazdasági épület stb.), továbbá az ingatlan-nyilvántartásban lakóházként (lakásként) nyilvántartott olyan épület, amelyet az illetékkötelezettség keletkezését megelőzően már legalább 5 éve más célra hasznosítanak;</w:t>
      </w:r>
    </w:p>
    <w:p w:rsidR="00E0528E" w:rsidRDefault="00E0528E" w:rsidP="00E0528E">
      <w:pPr>
        <w:autoSpaceDE w:val="0"/>
        <w:autoSpaceDN w:val="0"/>
        <w:adjustRightInd w:val="0"/>
        <w:ind w:firstLine="204"/>
        <w:jc w:val="both"/>
      </w:pPr>
      <w:r w:rsidRPr="00E0528E">
        <w:rPr>
          <w:i/>
          <w:iCs/>
        </w:rPr>
        <w:t>g)</w:t>
      </w:r>
      <w:r w:rsidRPr="00E0528E">
        <w:rPr>
          <w:i/>
          <w:iCs/>
          <w:vertAlign w:val="superscript"/>
        </w:rPr>
        <w:footnoteReference w:id="37"/>
      </w:r>
      <w:r w:rsidRPr="00E0528E">
        <w:rPr>
          <w:i/>
          <w:iCs/>
        </w:rPr>
        <w:t xml:space="preserve"> értékpapírnak </w:t>
      </w:r>
      <w:r>
        <w:t>olyan okirat vagy - jogszabályban megjelölt - más módon rögzített, nyilvántartott és továbbított adat tekinthető, amely jogszabályban meghatározott kellékekkel rendelkezik és kiállítását (kibocsátását), illetve ebben a formában történő megjelenítését jogszabály lehetővé teszi;</w:t>
      </w:r>
    </w:p>
    <w:p w:rsidR="00E0528E" w:rsidRDefault="00E0528E" w:rsidP="00E0528E">
      <w:pPr>
        <w:autoSpaceDE w:val="0"/>
        <w:autoSpaceDN w:val="0"/>
        <w:adjustRightInd w:val="0"/>
        <w:ind w:firstLine="204"/>
        <w:jc w:val="both"/>
      </w:pPr>
      <w:r w:rsidRPr="00E0528E">
        <w:rPr>
          <w:i/>
          <w:iCs/>
        </w:rPr>
        <w:t>h)</w:t>
      </w:r>
      <w:r w:rsidRPr="00E0528E">
        <w:rPr>
          <w:i/>
          <w:iCs/>
          <w:vertAlign w:val="superscript"/>
        </w:rPr>
        <w:footnoteReference w:id="38"/>
      </w:r>
      <w:r w:rsidRPr="00E0528E">
        <w:rPr>
          <w:i/>
          <w:iCs/>
        </w:rPr>
        <w:t xml:space="preserve"> gazdálkodó szervezet: </w:t>
      </w:r>
      <w:r>
        <w:t>a gazdasági társaság, az európai részvénytársaság, az egyesülés, az európai gazdasági egyesülés, az európai területi társulás, a szövetkezet, a lakásszövetkezet, az európai szövetkezet, a vízgazdálkodási társulat, az erdőbirtokossági társulat, az állami vállalat, az egyéb állami gazdálkodó szerv, az egyes jogi személyek vállalata, a végrehajtói iroda, a közjegyzői iroda, az ügyvédi iroda, a szabadalmi ügyvivői iroda, az önkéntes kölcsönös biztosító pénztár, a magánnyugdíjpénztár, az egyéni cég, továbbá az egyéni vállalkozó, továbbá az ezeknek megfelelő külföldi jogalany;</w:t>
      </w:r>
    </w:p>
    <w:p w:rsidR="00E0528E" w:rsidRDefault="00E0528E" w:rsidP="00E0528E">
      <w:pPr>
        <w:autoSpaceDE w:val="0"/>
        <w:autoSpaceDN w:val="0"/>
        <w:adjustRightInd w:val="0"/>
        <w:ind w:firstLine="204"/>
        <w:jc w:val="both"/>
      </w:pPr>
      <w:r w:rsidRPr="00E0528E">
        <w:rPr>
          <w:i/>
          <w:iCs/>
        </w:rPr>
        <w:t>i)</w:t>
      </w:r>
      <w:r w:rsidRPr="00E0528E">
        <w:rPr>
          <w:i/>
          <w:iCs/>
          <w:vertAlign w:val="superscript"/>
        </w:rPr>
        <w:footnoteReference w:id="39"/>
      </w:r>
      <w:r w:rsidRPr="00E0528E">
        <w:rPr>
          <w:i/>
          <w:iCs/>
        </w:rPr>
        <w:t xml:space="preserve"> gépjármű: </w:t>
      </w:r>
      <w:r>
        <w:t>az olyan közúti szállító- vagy vontatóeszköz - a mezőgazdasági vontató, az önjáró vagy vontatott munkagép, a lassú jármű és a segédmotoros kerékpár kivételével -, amelyet beépített erőgép hajt és nyilvántartásba vételét jogszabály írja elő;</w:t>
      </w:r>
    </w:p>
    <w:p w:rsidR="00E0528E" w:rsidRDefault="00E0528E" w:rsidP="00E0528E">
      <w:pPr>
        <w:autoSpaceDE w:val="0"/>
        <w:autoSpaceDN w:val="0"/>
        <w:adjustRightInd w:val="0"/>
        <w:ind w:firstLine="204"/>
        <w:jc w:val="both"/>
      </w:pPr>
      <w:r w:rsidRPr="00E0528E">
        <w:rPr>
          <w:i/>
          <w:iCs/>
        </w:rPr>
        <w:t xml:space="preserve">j) pótkocsi: </w:t>
      </w:r>
      <w:r>
        <w:t xml:space="preserve">az </w:t>
      </w:r>
      <w:r w:rsidRPr="00E0528E">
        <w:rPr>
          <w:i/>
          <w:iCs/>
        </w:rPr>
        <w:t xml:space="preserve">i) </w:t>
      </w:r>
      <w:r>
        <w:t>pont szerinti gépjárművel történő vontatásra készült jármű, teher- és sátras utánfutó, félpótkocsi, valamint lakópótkocsi, melynek a közlekedésben való részvételét - külön jogszabály - hatósági nyilvántartásba vételhez köti;</w:t>
      </w:r>
    </w:p>
    <w:p w:rsidR="00E0528E" w:rsidRDefault="00E0528E" w:rsidP="00E0528E">
      <w:pPr>
        <w:autoSpaceDE w:val="0"/>
        <w:autoSpaceDN w:val="0"/>
        <w:adjustRightInd w:val="0"/>
        <w:ind w:firstLine="204"/>
        <w:jc w:val="both"/>
      </w:pPr>
      <w:r w:rsidRPr="00E0528E">
        <w:rPr>
          <w:i/>
          <w:iCs/>
        </w:rPr>
        <w:lastRenderedPageBreak/>
        <w:t>k)</w:t>
      </w:r>
      <w:r w:rsidRPr="00E0528E">
        <w:rPr>
          <w:i/>
          <w:iCs/>
          <w:vertAlign w:val="superscript"/>
        </w:rPr>
        <w:footnoteReference w:id="40"/>
      </w:r>
      <w:r w:rsidRPr="00E0528E">
        <w:rPr>
          <w:i/>
          <w:iCs/>
        </w:rPr>
        <w:t xml:space="preserve"> sportcélú ingatlan: </w:t>
      </w:r>
      <w:r>
        <w:t>az ingatlan-nyilvántartási bejegyzés szerint sporttelep, sportpálya, uszoda, stadion, sportcsarnok, jégpálya, jégcsarnok, tornaterem, tornaszoba, tornaudvar, vízi-sporttelep - vagy a széljegy szerint ilyenként feltüntetésre váró ingatlan, ingatlanrész, feltéve, ha az az ingatlan-nyilvántartási eljárás, melynek megindítását a széljegy tanúsítja, bejegyzéssel zárul -, ide nem értve a földrészleten létesített, de a sporttevékenység végzéséhez vagy az e célt szolgáló létesítmény fenntartásához közvetlenül nem szükséges ingatlanrészt (szálloda, irodaház, bevásárlóközpont és az építési szabályok szerint ezekhez kialakított parkolóhelyek stb.), akkor is, ha az a sportcélú ingatlannal egybeépült, vagy az ingatlan-nyilvántartásban önálló ingatlanként nem szerepel;</w:t>
      </w:r>
    </w:p>
    <w:p w:rsidR="00E0528E" w:rsidRDefault="00E0528E" w:rsidP="00E0528E">
      <w:pPr>
        <w:autoSpaceDE w:val="0"/>
        <w:autoSpaceDN w:val="0"/>
        <w:adjustRightInd w:val="0"/>
        <w:ind w:firstLine="204"/>
        <w:jc w:val="both"/>
      </w:pPr>
      <w:r w:rsidRPr="00E0528E">
        <w:rPr>
          <w:i/>
          <w:iCs/>
        </w:rPr>
        <w:t>l)</w:t>
      </w:r>
      <w:r w:rsidRPr="00E0528E">
        <w:rPr>
          <w:i/>
          <w:iCs/>
          <w:vertAlign w:val="superscript"/>
        </w:rPr>
        <w:footnoteReference w:id="41"/>
      </w:r>
      <w:r w:rsidRPr="00E0528E">
        <w:rPr>
          <w:i/>
          <w:iCs/>
        </w:rPr>
        <w:t xml:space="preserve"> lakóház építésére alkalmas telektulajdon: </w:t>
      </w:r>
      <w:r>
        <w:t xml:space="preserve">az építésügyi szabályoknak és a településrendezési tervnek megfelelően kialakított, lakóépület elhelyezésére szolgáló, beépítetlen földrészlet vagy olyan földrészlet, amelyen </w:t>
      </w:r>
      <w:r w:rsidRPr="00E0528E">
        <w:rPr>
          <w:i/>
          <w:iCs/>
        </w:rPr>
        <w:t xml:space="preserve">az f) </w:t>
      </w:r>
      <w:r>
        <w:t>pont szerinti szerkezetkész állapotot el nem érő, lakóház céljára létesülő építmény áll;</w:t>
      </w:r>
    </w:p>
    <w:p w:rsidR="00E0528E" w:rsidRDefault="00E0528E" w:rsidP="00E0528E">
      <w:pPr>
        <w:autoSpaceDE w:val="0"/>
        <w:autoSpaceDN w:val="0"/>
        <w:adjustRightInd w:val="0"/>
        <w:ind w:firstLine="204"/>
        <w:jc w:val="both"/>
      </w:pPr>
      <w:r w:rsidRPr="00E0528E">
        <w:rPr>
          <w:i/>
          <w:iCs/>
        </w:rPr>
        <w:t>m)</w:t>
      </w:r>
      <w:r w:rsidRPr="00E0528E">
        <w:rPr>
          <w:i/>
          <w:iCs/>
          <w:vertAlign w:val="superscript"/>
        </w:rPr>
        <w:footnoteReference w:id="42"/>
      </w:r>
      <w:r w:rsidRPr="00E0528E">
        <w:rPr>
          <w:i/>
          <w:iCs/>
        </w:rPr>
        <w:t xml:space="preserve"> termőföld: </w:t>
      </w:r>
      <w:r>
        <w:t>az a földrészlet, amelyet a település külterületén az ingatlan-nyilvántartásban szántó, szőlő, gyümölcsös, kert, rét, legelő (gyep), nádas, erdő, fásított terület művelési ágban vagy halastóként tartanak nyilván, továbbá az olyan művelés alól kivett területként nyilvántartott földrészlet, amelyre az ingatlan-nyilvántartásban Országos Erdőállomány Adattárban erdőként nyilvántartott terület jogi jelleg van feljegyezve és a felsorolt valamelyik célra hasznosítják, ide nem értve a földrészleten bármilyen célra létesített épületet;</w:t>
      </w:r>
    </w:p>
    <w:p w:rsidR="00E0528E" w:rsidRDefault="00E0528E" w:rsidP="00E0528E">
      <w:pPr>
        <w:autoSpaceDE w:val="0"/>
        <w:autoSpaceDN w:val="0"/>
        <w:adjustRightInd w:val="0"/>
        <w:ind w:firstLine="204"/>
        <w:jc w:val="both"/>
      </w:pPr>
      <w:r w:rsidRPr="00E0528E">
        <w:rPr>
          <w:i/>
          <w:iCs/>
        </w:rPr>
        <w:t>n)</w:t>
      </w:r>
      <w:r w:rsidRPr="00E0528E">
        <w:rPr>
          <w:i/>
          <w:iCs/>
          <w:vertAlign w:val="superscript"/>
        </w:rPr>
        <w:footnoteReference w:id="43"/>
      </w:r>
      <w:r w:rsidRPr="00E0528E">
        <w:rPr>
          <w:i/>
          <w:iCs/>
        </w:rPr>
        <w:t xml:space="preserve"> nettó árbevétel: </w:t>
      </w:r>
      <w:r>
        <w:t>a helyi adókról szóló 1990. évi C. törvény szerinti nettó árbevétel;</w:t>
      </w:r>
    </w:p>
    <w:p w:rsidR="00E0528E" w:rsidRDefault="00E0528E" w:rsidP="00E0528E">
      <w:pPr>
        <w:autoSpaceDE w:val="0"/>
        <w:autoSpaceDN w:val="0"/>
        <w:adjustRightInd w:val="0"/>
        <w:ind w:firstLine="204"/>
        <w:jc w:val="both"/>
      </w:pPr>
      <w:r w:rsidRPr="00E0528E">
        <w:rPr>
          <w:i/>
          <w:iCs/>
        </w:rPr>
        <w:t>o)</w:t>
      </w:r>
      <w:r w:rsidRPr="00E0528E">
        <w:rPr>
          <w:i/>
          <w:iCs/>
          <w:vertAlign w:val="superscript"/>
        </w:rPr>
        <w:footnoteReference w:id="44"/>
      </w:r>
      <w:r w:rsidRPr="00E0528E">
        <w:rPr>
          <w:i/>
          <w:iCs/>
        </w:rPr>
        <w:t xml:space="preserve"> belföldi ingatlanvagyonnal rendelkező társaság: </w:t>
      </w:r>
      <w:r>
        <w:t>olyan gazdálkodó szervezet (megszerzett gazdálkodó szervezet), melynek a mérlegében kimutatott eszközök (ide nem értve a pénzeszközöket, pénzköveteléseket, aktív időbeli elhatárolásokat és kölcsönöket) mérleg szerinti értékének összegéből a belföldön fekvő ingatlan(ok), mérleg szerinti értéke több mint 75 százalék, vagy olyan gazdálkodó szervezetben (ingatlantulajdonnal rendelkező gazdálkodó szervezetben) rendelkezik legalább 75 százalékos - közvetett, vagy közvetlen - részesedéssel, melynek a mérlegében kimutatott eszközök (ide nem értve a pénzeszközöket, pénzköveteléseket, aktív időbeli elhatárolásokat és kölcsönöket) mérleg szerinti értékének összegéből a belföldön fekvő ingatlan(ok) mérleg szerinti értéke több mint 75 százalék azzal, hogy</w:t>
      </w:r>
    </w:p>
    <w:p w:rsidR="00E0528E" w:rsidRDefault="00E0528E" w:rsidP="00E0528E">
      <w:pPr>
        <w:autoSpaceDE w:val="0"/>
        <w:autoSpaceDN w:val="0"/>
        <w:adjustRightInd w:val="0"/>
        <w:ind w:firstLine="204"/>
        <w:jc w:val="both"/>
      </w:pPr>
      <w:r w:rsidRPr="00E0528E">
        <w:rPr>
          <w:i/>
          <w:iCs/>
        </w:rPr>
        <w:t xml:space="preserve">oa) </w:t>
      </w:r>
      <w:r>
        <w:t>mérleg alatt a vagyonszerzést megelőzően rendelkezésre álló utolsó beszámolóban elfogadott mérleget, ennek hiányában a nyitó mérleget kell érteni,</w:t>
      </w:r>
    </w:p>
    <w:p w:rsidR="00E0528E" w:rsidRDefault="00E0528E" w:rsidP="00E0528E">
      <w:pPr>
        <w:autoSpaceDE w:val="0"/>
        <w:autoSpaceDN w:val="0"/>
        <w:adjustRightInd w:val="0"/>
        <w:ind w:firstLine="204"/>
        <w:jc w:val="both"/>
      </w:pPr>
      <w:r w:rsidRPr="00E0528E">
        <w:rPr>
          <w:i/>
          <w:iCs/>
        </w:rPr>
        <w:t xml:space="preserve">ob) </w:t>
      </w:r>
      <w:r>
        <w:t>a közvetett részesedés arányát úgy kell meghatározni, hogy a megszerzett gazdálkodó szervezet tulajdonában álló gazdálkodó szervezetben (köztes vállalkozásban) fennálló tulajdoni hányadot meg kell szorozni a köztes vállalkozásnak az ingatlantulajdonnal rendelkező gazdálkodó szervezetben fennálló tulajdoni hányadával,</w:t>
      </w:r>
    </w:p>
    <w:p w:rsidR="00E0528E" w:rsidRDefault="00E0528E" w:rsidP="00E0528E">
      <w:pPr>
        <w:autoSpaceDE w:val="0"/>
        <w:autoSpaceDN w:val="0"/>
        <w:adjustRightInd w:val="0"/>
        <w:ind w:firstLine="204"/>
        <w:jc w:val="both"/>
      </w:pPr>
      <w:r w:rsidRPr="00E0528E">
        <w:rPr>
          <w:i/>
          <w:iCs/>
        </w:rPr>
        <w:t xml:space="preserve">oc) </w:t>
      </w:r>
      <w:r>
        <w:t>több köztes vállalkozás esetén a köztes vállalkozásonként megállapított közvetett részesedések arányait össze kell adni,</w:t>
      </w:r>
    </w:p>
    <w:p w:rsidR="00E0528E" w:rsidRDefault="00E0528E" w:rsidP="00E0528E">
      <w:pPr>
        <w:autoSpaceDE w:val="0"/>
        <w:autoSpaceDN w:val="0"/>
        <w:adjustRightInd w:val="0"/>
        <w:ind w:firstLine="204"/>
        <w:jc w:val="both"/>
      </w:pPr>
      <w:r w:rsidRPr="00E0528E">
        <w:rPr>
          <w:i/>
          <w:iCs/>
        </w:rPr>
        <w:t xml:space="preserve">od) </w:t>
      </w:r>
      <w:r>
        <w:t>ha a megszerzett gazdálkodó szervezet és az ingatlantulajdonnal rendelkező gazdálkodó szervezet között több gazdálkodó szervezetből álló tulajdonosi láncolat (köztes tulajdonosi láncolat) áll, az e szervezeteket összekötő tulajdoni részesedések szorzatát - több köztes tulajdonosi láncolat esetén a láncolatonként megállapított szorzatok összegét - kell a közvetett részesedés arányának tekinteni,</w:t>
      </w:r>
    </w:p>
    <w:p w:rsidR="00E0528E" w:rsidRDefault="00E0528E" w:rsidP="00E0528E">
      <w:pPr>
        <w:autoSpaceDE w:val="0"/>
        <w:autoSpaceDN w:val="0"/>
        <w:adjustRightInd w:val="0"/>
        <w:ind w:firstLine="204"/>
        <w:jc w:val="both"/>
      </w:pPr>
      <w:r w:rsidRPr="00E0528E">
        <w:rPr>
          <w:i/>
          <w:iCs/>
        </w:rPr>
        <w:lastRenderedPageBreak/>
        <w:t xml:space="preserve">oe) </w:t>
      </w:r>
      <w:r>
        <w:t>a részesedés arányának meghatározásakor a közvetlen és közvetett részesedéseket együttesen kell figyelembe venni,</w:t>
      </w:r>
    </w:p>
    <w:p w:rsidR="00E0528E" w:rsidRDefault="00E0528E" w:rsidP="00E0528E">
      <w:pPr>
        <w:autoSpaceDE w:val="0"/>
        <w:autoSpaceDN w:val="0"/>
        <w:adjustRightInd w:val="0"/>
        <w:ind w:firstLine="204"/>
        <w:jc w:val="both"/>
      </w:pPr>
      <w:r w:rsidRPr="00E0528E">
        <w:rPr>
          <w:i/>
          <w:iCs/>
        </w:rPr>
        <w:t>of)</w:t>
      </w:r>
      <w:r w:rsidRPr="00E0528E">
        <w:rPr>
          <w:i/>
          <w:iCs/>
          <w:vertAlign w:val="superscript"/>
        </w:rPr>
        <w:footnoteReference w:id="45"/>
      </w:r>
      <w:r w:rsidRPr="00E0528E">
        <w:rPr>
          <w:i/>
          <w:iCs/>
        </w:rPr>
        <w:t xml:space="preserve"> </w:t>
      </w:r>
      <w:r>
        <w:t xml:space="preserve">az eszközök, ingatlan(ok) mérleg szerinti értékének számítása során az </w:t>
      </w:r>
      <w:r w:rsidRPr="00E0528E">
        <w:rPr>
          <w:i/>
          <w:iCs/>
        </w:rPr>
        <w:t xml:space="preserve">oa) </w:t>
      </w:r>
      <w:r>
        <w:t xml:space="preserve">alpont szerinti mérlegben kimutatott eszközök, ingatlan(ok) mérleg szerinti értékét növelni kell a mérleg fordulónapja és az illetékkötelezettség keletkezése közötti időszakban megszerzett, az </w:t>
      </w:r>
      <w:r w:rsidRPr="00E0528E">
        <w:rPr>
          <w:i/>
          <w:iCs/>
        </w:rPr>
        <w:t xml:space="preserve">oa) </w:t>
      </w:r>
      <w:r>
        <w:t>alpont szerinti mérlegben nem szereplő eszközöknek (ide nem értve a pénzeszközöket, pénzköveteléseket, aktív időbeli elhatárolásokat és kölcsönöket), ingatlan(ok)nak a megszerzett társaság könyveiben az illetékkötelezettség keletkezésekor szereplő könyv szerinti értékével és csökkenteni kell az ugyanezen időszakban elidegenített, megsemmisült eszközök (ide nem értve a pénzeszközöket, pénzköveteléseket, aktív időbeli elhatárolásokat és kölcsönöket), ingatlan(ok) könyv szerinti értékével, feltéve, hogy e korrekciók együttes hatása az e pont szerinti minősítést befolyásolja;</w:t>
      </w:r>
    </w:p>
    <w:p w:rsidR="00E0528E" w:rsidRDefault="00E0528E" w:rsidP="00E0528E">
      <w:pPr>
        <w:autoSpaceDE w:val="0"/>
        <w:autoSpaceDN w:val="0"/>
        <w:adjustRightInd w:val="0"/>
        <w:ind w:firstLine="204"/>
        <w:jc w:val="both"/>
      </w:pPr>
      <w:r w:rsidRPr="00E0528E">
        <w:rPr>
          <w:i/>
          <w:iCs/>
        </w:rPr>
        <w:t>p)</w:t>
      </w:r>
      <w:r w:rsidRPr="00E0528E">
        <w:rPr>
          <w:i/>
          <w:iCs/>
          <w:vertAlign w:val="superscript"/>
        </w:rPr>
        <w:footnoteReference w:id="46"/>
      </w:r>
      <w:r w:rsidRPr="00E0528E">
        <w:rPr>
          <w:i/>
          <w:iCs/>
        </w:rPr>
        <w:t xml:space="preserve"> használatbavételi engedély: </w:t>
      </w:r>
      <w:r>
        <w:t>az épített környezet alakításáról és védelméről szóló törvény szerinti használatbavételi engedély és az egyszerű bejelentéshez kötött épület felépítésének megtörténtét tanúsító hatósági bizonyítvány;</w:t>
      </w:r>
    </w:p>
    <w:p w:rsidR="00E0528E" w:rsidRDefault="00E0528E" w:rsidP="00E0528E">
      <w:pPr>
        <w:autoSpaceDE w:val="0"/>
        <w:autoSpaceDN w:val="0"/>
        <w:adjustRightInd w:val="0"/>
        <w:ind w:firstLine="204"/>
        <w:jc w:val="both"/>
      </w:pPr>
      <w:r w:rsidRPr="00E0528E">
        <w:rPr>
          <w:i/>
          <w:iCs/>
        </w:rPr>
        <w:t>r)</w:t>
      </w:r>
      <w:r w:rsidRPr="00E0528E">
        <w:rPr>
          <w:i/>
          <w:iCs/>
          <w:vertAlign w:val="superscript"/>
        </w:rPr>
        <w:footnoteReference w:id="47"/>
      </w:r>
      <w:r w:rsidRPr="00E0528E">
        <w:rPr>
          <w:i/>
          <w:iCs/>
        </w:rPr>
        <w:t xml:space="preserve"> természeti katasztrófa: </w:t>
      </w:r>
      <w:r>
        <w:t>az ár- és belvíz, a földcsuszamlás, valamint a földrengés;</w:t>
      </w:r>
    </w:p>
    <w:p w:rsidR="00E0528E" w:rsidRDefault="00E0528E" w:rsidP="00E0528E">
      <w:pPr>
        <w:autoSpaceDE w:val="0"/>
        <w:autoSpaceDN w:val="0"/>
        <w:adjustRightInd w:val="0"/>
        <w:ind w:firstLine="204"/>
        <w:jc w:val="both"/>
      </w:pPr>
      <w:r w:rsidRPr="00E0528E">
        <w:rPr>
          <w:i/>
          <w:iCs/>
        </w:rPr>
        <w:t>s)</w:t>
      </w:r>
      <w:r w:rsidRPr="00E0528E">
        <w:rPr>
          <w:i/>
          <w:iCs/>
          <w:vertAlign w:val="superscript"/>
        </w:rPr>
        <w:footnoteReference w:id="48"/>
      </w:r>
      <w:r w:rsidRPr="00E0528E">
        <w:rPr>
          <w:i/>
          <w:iCs/>
        </w:rPr>
        <w:t xml:space="preserve"> lakóépület: </w:t>
      </w:r>
      <w:r>
        <w:t>kizárólag vagy túlnyomó részben lakást tartalmazó épület;</w:t>
      </w:r>
    </w:p>
    <w:p w:rsidR="00E0528E" w:rsidRDefault="00E0528E" w:rsidP="00E0528E">
      <w:pPr>
        <w:autoSpaceDE w:val="0"/>
        <w:autoSpaceDN w:val="0"/>
        <w:adjustRightInd w:val="0"/>
        <w:ind w:firstLine="204"/>
        <w:jc w:val="both"/>
      </w:pPr>
      <w:r w:rsidRPr="00E0528E">
        <w:rPr>
          <w:i/>
          <w:iCs/>
        </w:rPr>
        <w:t>sz)</w:t>
      </w:r>
      <w:r w:rsidRPr="00E0528E">
        <w:rPr>
          <w:i/>
          <w:iCs/>
          <w:vertAlign w:val="superscript"/>
        </w:rPr>
        <w:footnoteReference w:id="49"/>
      </w:r>
      <w:r w:rsidRPr="00E0528E">
        <w:rPr>
          <w:i/>
          <w:iCs/>
        </w:rPr>
        <w:t xml:space="preserve"> kisvállalkozás: </w:t>
      </w:r>
      <w:r>
        <w:t>az az egyéni cég, illetve gazdasági társaság, amelynél az éves összes foglalkoztatott létszám az 50 főt nem éri el és éves nettó árbevétele legfeljebb 700 millió forint. Az éves foglalkoztatottak létszámát az egyes foglalkoztatottak munkaviszonyának kezdetétől annak megszűnéséig eltelt naptári napok összegezésével, majd az így kapott összeg 365-tel történő elosztásával, tört hányados esetén lefelé kerekítve kell meghatározni;</w:t>
      </w:r>
    </w:p>
    <w:p w:rsidR="00E0528E" w:rsidRDefault="00E0528E" w:rsidP="00E0528E">
      <w:pPr>
        <w:autoSpaceDE w:val="0"/>
        <w:autoSpaceDN w:val="0"/>
        <w:adjustRightInd w:val="0"/>
        <w:ind w:firstLine="204"/>
        <w:jc w:val="both"/>
      </w:pPr>
      <w:r w:rsidRPr="00E0528E">
        <w:rPr>
          <w:i/>
          <w:iCs/>
        </w:rPr>
        <w:t>t)</w:t>
      </w:r>
      <w:r w:rsidRPr="00E0528E">
        <w:rPr>
          <w:i/>
          <w:iCs/>
          <w:vertAlign w:val="superscript"/>
        </w:rPr>
        <w:footnoteReference w:id="50"/>
      </w:r>
      <w:r w:rsidRPr="00E0528E">
        <w:rPr>
          <w:i/>
          <w:iCs/>
        </w:rPr>
        <w:t xml:space="preserve"> vállalkozói vagyon: </w:t>
      </w:r>
      <w:r>
        <w:t>minden olyan üzleti célt szolgáló ingatlan (termőföld, telek, épület, egyéb építmény), ingó vagyon (műszaki berendezés, gép, jármű, üzemi és üzleti felszerelés, egyéb berendezés), továbbá az ilyen vagyonra vonatkozó építményi jog, haszonélvezeti jog, amelyet a kisvállalkozó kizárólag a vállalkozói tevékenységével (tevékenységeivel) kapcsolatban használ, azokat más célra részben sem használja és üzleti nyilvántartásai ezt egyértelműen alátámasztják. Nem minősül vállalkozói vagyonnak a személygépkocsi, a lakástulajdon (tulajdoni hányad), valamint az ezekre vonatkozó vagyoni értékű jog;</w:t>
      </w:r>
    </w:p>
    <w:p w:rsidR="00E0528E" w:rsidRDefault="00E0528E" w:rsidP="00E0528E">
      <w:pPr>
        <w:autoSpaceDE w:val="0"/>
        <w:autoSpaceDN w:val="0"/>
        <w:adjustRightInd w:val="0"/>
        <w:ind w:firstLine="204"/>
        <w:jc w:val="both"/>
      </w:pPr>
      <w:r w:rsidRPr="00E0528E">
        <w:rPr>
          <w:i/>
          <w:iCs/>
        </w:rPr>
        <w:t>u)</w:t>
      </w:r>
      <w:r w:rsidRPr="00E0528E">
        <w:rPr>
          <w:i/>
          <w:iCs/>
          <w:vertAlign w:val="superscript"/>
        </w:rPr>
        <w:footnoteReference w:id="51"/>
      </w:r>
      <w:r w:rsidRPr="00E0528E">
        <w:rPr>
          <w:i/>
          <w:iCs/>
        </w:rPr>
        <w:t xml:space="preserve"> vagyonkezelő alapítvány: </w:t>
      </w:r>
      <w:r>
        <w:t>a vagyonkezelő alapítványokról szóló törvény szerinti vagyonkezelő alapítvány, a közfeladatot ellátó közérdekű vagyonkezelő alapítványokról szóló törvény szerinti alapítvány, továbbá a más EGT-államban nyilvántartásba vett alapítvány, ha igazolja, hogy teljesíti a vagyonkezelő alapítványokról szóló törvény által előírt, a vagyonkezelő alapítványok alapítására és működésére vonatkozó feltételeket;</w:t>
      </w:r>
    </w:p>
    <w:p w:rsidR="00E0528E" w:rsidRDefault="00E0528E" w:rsidP="00E0528E">
      <w:pPr>
        <w:autoSpaceDE w:val="0"/>
        <w:autoSpaceDN w:val="0"/>
        <w:adjustRightInd w:val="0"/>
        <w:ind w:firstLine="204"/>
        <w:jc w:val="both"/>
      </w:pPr>
      <w:r w:rsidRPr="00E0528E">
        <w:rPr>
          <w:i/>
          <w:iCs/>
        </w:rPr>
        <w:t>v)</w:t>
      </w:r>
      <w:r w:rsidRPr="00E0528E">
        <w:rPr>
          <w:i/>
          <w:iCs/>
          <w:vertAlign w:val="superscript"/>
        </w:rPr>
        <w:footnoteReference w:id="52"/>
      </w:r>
      <w:r w:rsidRPr="00E0528E">
        <w:rPr>
          <w:i/>
          <w:iCs/>
        </w:rPr>
        <w:t xml:space="preserve"> alapítvány: </w:t>
      </w:r>
      <w:r>
        <w:t>a Civil törvény szerinti közhasznú jogállású alapítvány, továbbá a más EGT-államban nyilvántartásba vett alapítvány, ha igazolja, hogy teljesíti a Civil törvény szerinti közhasznú szervezetté történő minősítés feltételeit, ide nem értve a magyarországi nyilvántartásba vételt; valamint az alapítás évében és az azt követő két évben az az újonnan létrejött alapítvány, amely vállalja, hogy az alapítás évét követő második év végéig e feltételeknek eleget tesz;</w:t>
      </w:r>
    </w:p>
    <w:p w:rsidR="00E0528E" w:rsidRDefault="00E0528E" w:rsidP="00E0528E">
      <w:pPr>
        <w:autoSpaceDE w:val="0"/>
        <w:autoSpaceDN w:val="0"/>
        <w:adjustRightInd w:val="0"/>
        <w:jc w:val="both"/>
      </w:pPr>
    </w:p>
    <w:p w:rsidR="00480E0A" w:rsidRDefault="00480E0A"/>
    <w:sectPr w:rsidR="00480E0A" w:rsidSect="0049790C">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180" w:rsidRDefault="00B85180">
      <w:r>
        <w:separator/>
      </w:r>
    </w:p>
  </w:endnote>
  <w:endnote w:type="continuationSeparator" w:id="1">
    <w:p w:rsidR="00B85180" w:rsidRDefault="00B8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180" w:rsidRDefault="00B85180">
      <w:r>
        <w:separator/>
      </w:r>
    </w:p>
  </w:footnote>
  <w:footnote w:type="continuationSeparator" w:id="1">
    <w:p w:rsidR="00B85180" w:rsidRDefault="00B85180">
      <w:r>
        <w:continuationSeparator/>
      </w:r>
    </w:p>
  </w:footnote>
  <w:footnote w:id="2">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Kihirdetve: 1990. XII. </w:t>
      </w:r>
      <w:smartTag w:uri="urn:schemas-microsoft-com:office:smarttags" w:element="metricconverter">
        <w:smartTagPr>
          <w:attr w:name="ProductID" w:val="24. A"/>
        </w:smartTagPr>
        <w:r w:rsidRPr="00E0528E">
          <w:rPr>
            <w:sz w:val="16"/>
            <w:szCs w:val="16"/>
          </w:rPr>
          <w:t>24. A</w:t>
        </w:r>
      </w:smartTag>
      <w:r w:rsidRPr="00E0528E">
        <w:rPr>
          <w:sz w:val="16"/>
          <w:szCs w:val="16"/>
        </w:rPr>
        <w:t xml:space="preserve"> 2006. évi LXI. törvény 249. § (1) alapján a Fővárosi Illetékhivatal és a megyei illetékhivatalok megszűnnek, ezzel egyidejűleg az illetékhivatalok feladatainak ellátását az APEH regionális igazgatóságai átveszik és végzik. A változást a törvényben nem vezettük át. Lásd még: 2006. évi LXI. törvény 249. §, 2006. évi CXXXI. törvény 156. § (3).</w:t>
      </w:r>
    </w:p>
  </w:footnote>
  <w:footnote w:id="3">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Beiktatta: 2001. évi L. törvény 23. §. Hatályba lép a Magyar Köztársaság Európai Unióhoz történő csatlakozásáról szóló nemzetközi szerződést kihirdető törvény hatálybalépésének a napján.</w:t>
      </w:r>
    </w:p>
  </w:footnote>
  <w:footnote w:id="4">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2009. évi CXVI. törvény 41. §. Hatályos: 2010. I. 1-től. Lásd: 2009. évi CXVI. törvény 147. § (2).</w:t>
      </w:r>
    </w:p>
  </w:footnote>
  <w:footnote w:id="5">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Módosította: 2012. évi CLXXVIII. törvény 208. § 5.</w:t>
      </w:r>
    </w:p>
  </w:footnote>
  <w:footnote w:id="6">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Módosítva: 2018. évi XLI. törvény 144. § 4. alapján.</w:t>
      </w:r>
    </w:p>
  </w:footnote>
  <w:footnote w:id="7">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Módosította: 2012. évi CLXXVIII. törvény 209. § (1) 2.</w:t>
      </w:r>
    </w:p>
  </w:footnote>
  <w:footnote w:id="8">
    <w:p w:rsidR="00E0528E" w:rsidRDefault="00E0528E" w:rsidP="00E0528E">
      <w:r w:rsidRPr="00E0528E">
        <w:rPr>
          <w:sz w:val="16"/>
          <w:szCs w:val="16"/>
          <w:vertAlign w:val="superscript"/>
        </w:rPr>
        <w:footnoteRef/>
      </w:r>
      <w:r w:rsidRPr="00E0528E">
        <w:rPr>
          <w:sz w:val="16"/>
          <w:szCs w:val="16"/>
        </w:rPr>
        <w:t xml:space="preserve"> Hatályon kívül helyezte: 2012. évi CLXXVIII. törvény 209. § (2) 7. Hatálytalan: 2013. I. 1-től.</w:t>
      </w:r>
    </w:p>
  </w:footnote>
  <w:footnote w:id="9">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Módosította: 2012. évi CLXXVIII. törvény 209. § (1) 3.</w:t>
      </w:r>
    </w:p>
  </w:footnote>
  <w:footnote w:id="10">
    <w:p w:rsidR="00E0528E" w:rsidRPr="00E0528E" w:rsidRDefault="00E0528E" w:rsidP="00E0528E">
      <w:pPr>
        <w:rPr>
          <w:b/>
          <w:sz w:val="16"/>
          <w:szCs w:val="16"/>
        </w:rPr>
      </w:pPr>
      <w:r w:rsidRPr="00E0528E">
        <w:rPr>
          <w:b/>
          <w:sz w:val="16"/>
          <w:szCs w:val="16"/>
          <w:vertAlign w:val="superscript"/>
        </w:rPr>
        <w:footnoteRef/>
      </w:r>
      <w:r w:rsidRPr="00E0528E">
        <w:rPr>
          <w:b/>
          <w:sz w:val="16"/>
          <w:szCs w:val="16"/>
        </w:rPr>
        <w:t xml:space="preserve"> Módosította: 2023. évi XXXIX. törvény 4. § a).</w:t>
      </w:r>
    </w:p>
  </w:footnote>
  <w:footnote w:id="11">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Módosította: 2012. évi CLXXVIII. törvény 208. § 5.</w:t>
      </w:r>
    </w:p>
  </w:footnote>
  <w:footnote w:id="12">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Módosította: 2013. évi CC. törvény 133. § 4.</w:t>
      </w:r>
    </w:p>
  </w:footnote>
  <w:footnote w:id="13">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Beiktatta: 2019. évi XCIX. törvény 1. §. Hatályos: 2020. II. 1-től.</w:t>
      </w:r>
    </w:p>
  </w:footnote>
  <w:footnote w:id="14">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Módosította: 2023. évi XXXIX. törvény 4. § b).</w:t>
      </w:r>
    </w:p>
  </w:footnote>
  <w:footnote w:id="15">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Módosította: 2008. évi LXXXI. törvény 224. § (2).</w:t>
      </w:r>
    </w:p>
  </w:footnote>
  <w:footnote w:id="16">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Beiktatta: 1993. évi XCVII. törvény 6. §. Hatályos: 1994. I. 1-től.</w:t>
      </w:r>
    </w:p>
  </w:footnote>
  <w:footnote w:id="17">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Hatályon kívül helyezte: 2016. évi LXVI. törvény 115. § (1) 3. Hatálytalan: 2016. VI. 16-tól.</w:t>
      </w:r>
    </w:p>
  </w:footnote>
  <w:footnote w:id="18">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Beiktatta: 2004. évi CI. törvény 158. §. Hatályos: 2005. I. 1-től.</w:t>
      </w:r>
    </w:p>
  </w:footnote>
  <w:footnote w:id="19">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2011. évi XCVI. törvény 11. §. Módosította: 2013. évi CC. törvény 134. § 2., 2013. évi CCLII. törvény 134. § (4) c).</w:t>
      </w:r>
    </w:p>
  </w:footnote>
  <w:footnote w:id="20">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2007. évi CXXVI. törvény 147. §. Módosította: </w:t>
      </w:r>
      <w:r w:rsidRPr="00E0528E">
        <w:rPr>
          <w:b/>
          <w:sz w:val="16"/>
          <w:szCs w:val="16"/>
        </w:rPr>
        <w:t>2023. évi XXXIX. törvény 4. § c).</w:t>
      </w:r>
    </w:p>
  </w:footnote>
  <w:footnote w:id="21">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Beiktatta: 2009. évi LXXVII. törvény 69. § (2). Hatályos: 2010. I. 1-től. Lásd: 2009. évi LXXVII. törvény 213. § (1).</w:t>
      </w:r>
    </w:p>
  </w:footnote>
  <w:footnote w:id="22">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Módosította: 2016. évi LXVI. törvény 114. § 1.</w:t>
      </w:r>
    </w:p>
  </w:footnote>
  <w:footnote w:id="23">
    <w:p w:rsidR="00E0528E" w:rsidRDefault="00E0528E" w:rsidP="00E0528E">
      <w:r w:rsidRPr="00E0528E">
        <w:rPr>
          <w:sz w:val="16"/>
          <w:szCs w:val="16"/>
          <w:vertAlign w:val="superscript"/>
        </w:rPr>
        <w:footnoteRef/>
      </w:r>
      <w:r w:rsidRPr="00E0528E">
        <w:rPr>
          <w:sz w:val="16"/>
          <w:szCs w:val="16"/>
        </w:rPr>
        <w:t xml:space="preserve"> Megállapította: 2023. évi XXXIX. törvény 1. §. </w:t>
      </w:r>
      <w:r w:rsidRPr="00E0528E">
        <w:rPr>
          <w:b/>
          <w:sz w:val="16"/>
          <w:szCs w:val="16"/>
        </w:rPr>
        <w:t>Hatályos: 2023. VII. 22-től</w:t>
      </w:r>
      <w:r w:rsidRPr="00E0528E">
        <w:rPr>
          <w:sz w:val="16"/>
          <w:szCs w:val="16"/>
        </w:rPr>
        <w:t>.</w:t>
      </w:r>
    </w:p>
  </w:footnote>
  <w:footnote w:id="24">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Módosította: 2023. évi XXXIX. törvény 4. § d).</w:t>
      </w:r>
    </w:p>
  </w:footnote>
  <w:footnote w:id="25">
    <w:p w:rsidR="00E0528E" w:rsidRPr="00E0528E" w:rsidRDefault="00E0528E" w:rsidP="00E0528E">
      <w:pPr>
        <w:rPr>
          <w:b/>
          <w:sz w:val="16"/>
          <w:szCs w:val="16"/>
        </w:rPr>
      </w:pPr>
      <w:r w:rsidRPr="00E0528E">
        <w:rPr>
          <w:sz w:val="16"/>
          <w:szCs w:val="16"/>
          <w:vertAlign w:val="superscript"/>
        </w:rPr>
        <w:footnoteRef/>
      </w:r>
      <w:r w:rsidRPr="00E0528E">
        <w:rPr>
          <w:sz w:val="16"/>
          <w:szCs w:val="16"/>
        </w:rPr>
        <w:t xml:space="preserve"> Megállapította: 1996. évi LXXXV. törvény 23. §. Módosította: </w:t>
      </w:r>
      <w:r w:rsidRPr="00E0528E">
        <w:rPr>
          <w:b/>
          <w:sz w:val="16"/>
          <w:szCs w:val="16"/>
        </w:rPr>
        <w:t>2023. évi XXXIX. törvény 4. § e).</w:t>
      </w:r>
    </w:p>
  </w:footnote>
  <w:footnote w:id="26">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Módosította: 2023. évi XXXIX. törvény 4. § e).</w:t>
      </w:r>
    </w:p>
  </w:footnote>
  <w:footnote w:id="27">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Módosította: 2023. évi XXXIX. törvény 4. § e).</w:t>
      </w:r>
    </w:p>
  </w:footnote>
  <w:footnote w:id="28">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1993. évi XCVII. törvény 18. §. Hatályos: 1994. I. 1-től.</w:t>
      </w:r>
    </w:p>
  </w:footnote>
  <w:footnote w:id="29">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2007. évi CXXVI. törvény 159. §. Hatályos: 2008. I. 1-től. Lásd még: ugyane törvény 379. § (1).</w:t>
      </w:r>
    </w:p>
  </w:footnote>
  <w:footnote w:id="30">
    <w:p w:rsidR="00E0528E" w:rsidRDefault="00E0528E" w:rsidP="00E0528E">
      <w:r w:rsidRPr="00E0528E">
        <w:rPr>
          <w:sz w:val="16"/>
          <w:szCs w:val="16"/>
          <w:vertAlign w:val="superscript"/>
        </w:rPr>
        <w:footnoteRef/>
      </w:r>
      <w:r w:rsidRPr="00E0528E">
        <w:rPr>
          <w:sz w:val="16"/>
          <w:szCs w:val="16"/>
        </w:rPr>
        <w:t xml:space="preserve"> Módosította: 2013. évi CC. törvény 133. § 12</w:t>
      </w:r>
      <w:r>
        <w:t>.</w:t>
      </w:r>
    </w:p>
  </w:footnote>
  <w:footnote w:id="31">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2023. évi XXXIX. törvény 2. §. </w:t>
      </w:r>
      <w:r w:rsidRPr="00E0528E">
        <w:rPr>
          <w:b/>
          <w:sz w:val="16"/>
          <w:szCs w:val="16"/>
        </w:rPr>
        <w:t>Hatályos: 2023. VII. 22-től</w:t>
      </w:r>
      <w:r w:rsidRPr="00E0528E">
        <w:rPr>
          <w:sz w:val="16"/>
          <w:szCs w:val="16"/>
        </w:rPr>
        <w:t>.</w:t>
      </w:r>
    </w:p>
  </w:footnote>
  <w:footnote w:id="32">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2009. évi CXVI. törvény 46. § (1). Hatályos: 2010. I. 1-től. Ezt követően illetékkiszabásra bejelentett vagy más módon az állami adóhatóság tudomására jutott vagyonszerzési ügyekben, illetve indult eljárásokban kell alkalmazni. Lásd: 2009. évi CXVI. törvény 147. § (1).</w:t>
      </w:r>
    </w:p>
  </w:footnote>
  <w:footnote w:id="33">
    <w:p w:rsidR="00E0528E" w:rsidRPr="00E0528E" w:rsidRDefault="00E0528E" w:rsidP="00E0528E">
      <w:pPr>
        <w:rPr>
          <w:b/>
          <w:sz w:val="16"/>
          <w:szCs w:val="16"/>
        </w:rPr>
      </w:pPr>
      <w:r w:rsidRPr="00E0528E">
        <w:rPr>
          <w:sz w:val="16"/>
          <w:szCs w:val="16"/>
          <w:vertAlign w:val="superscript"/>
        </w:rPr>
        <w:footnoteRef/>
      </w:r>
      <w:r w:rsidRPr="00E0528E">
        <w:rPr>
          <w:sz w:val="16"/>
          <w:szCs w:val="16"/>
        </w:rPr>
        <w:t xml:space="preserve"> Megállapította: 2023. évi XXXIX. törvény 3. §. </w:t>
      </w:r>
      <w:r w:rsidRPr="00E0528E">
        <w:rPr>
          <w:b/>
          <w:sz w:val="16"/>
          <w:szCs w:val="16"/>
        </w:rPr>
        <w:t>Hatályos: 2023. VII. 22-től.</w:t>
      </w:r>
    </w:p>
  </w:footnote>
  <w:footnote w:id="34">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2008. évi LXXXI. törvény 80. § (1). Hatályos: 2009. I. 1-től. Ezt követően illetékkiszabásra bejelentett vagy más módon az állami adóhatóság tudomásra jutott vagyonszerzési ügyekben, valamint kezdeményezett elsőfokú, illetve jogorvoslati eljárásokban kell alkalmazni.</w:t>
      </w:r>
    </w:p>
  </w:footnote>
  <w:footnote w:id="35">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Beiktatta: 2009. évi CXVI. törvény 46. § (2). Hatályos: 2010. I. 1-től. Ezt követően illetékkiszabásra bejelentett vagy más módon az állami adóhatóság tudomására jutott</w:t>
      </w:r>
      <w:r>
        <w:t xml:space="preserve"> </w:t>
      </w:r>
      <w:r w:rsidRPr="00E0528E">
        <w:rPr>
          <w:sz w:val="16"/>
          <w:szCs w:val="16"/>
        </w:rPr>
        <w:t>vagyonszerzési ügyekben, illetve indult eljárásokban kell alkalmazni. Lásd: 2009. évi CXVI. törvény 147. § (1).</w:t>
      </w:r>
    </w:p>
  </w:footnote>
  <w:footnote w:id="36">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2001. évi LXXIV. törvény 100. § (1). Hatályos: 2002. I. 1-től. Lásd még: ugyane törvény 163. § (1).</w:t>
      </w:r>
    </w:p>
  </w:footnote>
  <w:footnote w:id="37">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2002. évi XLII. törvény 183. §. Hatályos: 2003. I. 1-től.</w:t>
      </w:r>
    </w:p>
  </w:footnote>
  <w:footnote w:id="38">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2017. évi LXXVII. törvény 121. §. Hatályos: 2018. I. 1-től.</w:t>
      </w:r>
    </w:p>
  </w:footnote>
  <w:footnote w:id="39">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1996. évi LXXXV. törvény 25. § (1). Hatályos: 1997. I. 1-től. Módosította: 2002. évi XLII. törvény 310. § (2).</w:t>
      </w:r>
    </w:p>
  </w:footnote>
  <w:footnote w:id="40">
    <w:p w:rsidR="00E0528E" w:rsidRDefault="00E0528E" w:rsidP="00E0528E">
      <w:r w:rsidRPr="00E0528E">
        <w:rPr>
          <w:sz w:val="16"/>
          <w:szCs w:val="16"/>
          <w:vertAlign w:val="superscript"/>
        </w:rPr>
        <w:footnoteRef/>
      </w:r>
      <w:r w:rsidRPr="00E0528E">
        <w:rPr>
          <w:sz w:val="16"/>
          <w:szCs w:val="16"/>
        </w:rPr>
        <w:t xml:space="preserve"> Megállapította: 2012. évi CLXXVIII. törvény 205. §. Hatályos: 2013. I. 1-től.</w:t>
      </w:r>
    </w:p>
  </w:footnote>
  <w:footnote w:id="41">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2013. évi CC. törvény 132. § (1). Hatályos: 2014. I. 1-től.</w:t>
      </w:r>
    </w:p>
  </w:footnote>
  <w:footnote w:id="42">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2012. évi CLXXVIII. törvény 206. §. Módosította: 2013. évi CC. törvény 133. § 19.</w:t>
      </w:r>
    </w:p>
  </w:footnote>
  <w:footnote w:id="43">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2008. évi LXXXI. törvény 80. § (3). Hatályos: 2009. I. 23-tól. Lásd még: 2008. évi LXXXI. törvény 204. § (2).</w:t>
      </w:r>
    </w:p>
  </w:footnote>
  <w:footnote w:id="44">
    <w:p w:rsidR="00E0528E" w:rsidRDefault="00E0528E" w:rsidP="00E0528E">
      <w:r w:rsidRPr="00E0528E">
        <w:rPr>
          <w:sz w:val="16"/>
          <w:szCs w:val="16"/>
          <w:vertAlign w:val="superscript"/>
        </w:rPr>
        <w:footnoteRef/>
      </w:r>
      <w:r w:rsidRPr="00E0528E">
        <w:rPr>
          <w:sz w:val="16"/>
          <w:szCs w:val="16"/>
        </w:rPr>
        <w:t xml:space="preserve"> Megállapította: 2013. évi CC. törvény 132. § (2). Módosította: 2014. évi LXXIV. törvény 185. § 10.</w:t>
      </w:r>
    </w:p>
  </w:footnote>
  <w:footnote w:id="45">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Beiktatta: 2021. évi LXIX. törvény 77. § (1). Hatályos: 2021. VII. 10-től.</w:t>
      </w:r>
    </w:p>
  </w:footnote>
  <w:footnote w:id="46">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2016. évi LXVI. törvény 113. §. Hatályos: 2016. VI. 16-tól.</w:t>
      </w:r>
    </w:p>
  </w:footnote>
  <w:footnote w:id="47">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Beiktatta: 2000. évi CXIII. törvény 142. § (2). Hatályos: 2001. I. 1-től.</w:t>
      </w:r>
    </w:p>
  </w:footnote>
  <w:footnote w:id="48">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Beiktatta: 2000. évi CXIII. törvény 142. § (2). Hatályos: 2001. I. 1-től.</w:t>
      </w:r>
    </w:p>
  </w:footnote>
  <w:footnote w:id="49">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2009. évi CXVI. törvény 46. § (4). Hatályos: 2010. I. 1-től. Ezt követően illetékkiszabásra bejelentett vagy más módon az állami adóhatóság tudomására jutott vagyonszerzési ügyekben, illetve indult eljárásokban kell alkalmazni. Lásd: 2009. évi CXVI. törvény 147. § (1).</w:t>
      </w:r>
    </w:p>
  </w:footnote>
  <w:footnote w:id="50">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2009. évi CXVI. törvény 46. § (4). Módosította: 2023. évi XXXIX. törvény 4. § f).</w:t>
      </w:r>
    </w:p>
  </w:footnote>
  <w:footnote w:id="51">
    <w:p w:rsidR="00E0528E" w:rsidRPr="00E0528E" w:rsidRDefault="00E0528E" w:rsidP="00E0528E">
      <w:pPr>
        <w:rPr>
          <w:sz w:val="16"/>
          <w:szCs w:val="16"/>
        </w:rPr>
      </w:pPr>
      <w:r w:rsidRPr="00E0528E">
        <w:rPr>
          <w:sz w:val="16"/>
          <w:szCs w:val="16"/>
          <w:vertAlign w:val="superscript"/>
        </w:rPr>
        <w:footnoteRef/>
      </w:r>
      <w:r w:rsidRPr="00E0528E">
        <w:rPr>
          <w:sz w:val="16"/>
          <w:szCs w:val="16"/>
        </w:rPr>
        <w:t xml:space="preserve"> Megállapította: 2021. évi LXIX. törvény 77. § (2). Hatályos: 2021. VI. 10-től.</w:t>
      </w:r>
    </w:p>
  </w:footnote>
  <w:footnote w:id="52">
    <w:p w:rsidR="00E0528E" w:rsidRDefault="00E0528E" w:rsidP="00E0528E">
      <w:r w:rsidRPr="00E0528E">
        <w:rPr>
          <w:sz w:val="16"/>
          <w:szCs w:val="16"/>
          <w:vertAlign w:val="superscript"/>
        </w:rPr>
        <w:footnoteRef/>
      </w:r>
      <w:r w:rsidRPr="00E0528E">
        <w:rPr>
          <w:sz w:val="16"/>
          <w:szCs w:val="16"/>
        </w:rPr>
        <w:t xml:space="preserve"> Megállapította: 2019. évi LXXII. törvény 61. §. Hatályos: 2020. I. 1-től.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528E"/>
    <w:rsid w:val="00134BD3"/>
    <w:rsid w:val="001D6F4E"/>
    <w:rsid w:val="00234967"/>
    <w:rsid w:val="003050F1"/>
    <w:rsid w:val="00317BA5"/>
    <w:rsid w:val="00480E0A"/>
    <w:rsid w:val="0049790C"/>
    <w:rsid w:val="004B4BFD"/>
    <w:rsid w:val="004E7CEE"/>
    <w:rsid w:val="005A0459"/>
    <w:rsid w:val="00641487"/>
    <w:rsid w:val="007F0EF4"/>
    <w:rsid w:val="008E5C5E"/>
    <w:rsid w:val="008F2855"/>
    <w:rsid w:val="009A7C2F"/>
    <w:rsid w:val="00A8135C"/>
    <w:rsid w:val="00B8293D"/>
    <w:rsid w:val="00B85180"/>
    <w:rsid w:val="00C95476"/>
    <w:rsid w:val="00CE10B6"/>
    <w:rsid w:val="00CE3A4B"/>
    <w:rsid w:val="00D033A5"/>
    <w:rsid w:val="00E0528E"/>
    <w:rsid w:val="00FE51D8"/>
    <w:rsid w:val="00FE54AE"/>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z w:val="24"/>
      <w:szCs w:val="24"/>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2760</Words>
  <Characters>19045</Characters>
  <Application>Microsoft Office Word</Application>
  <DocSecurity>0</DocSecurity>
  <Lines>158</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Iroda</dc:creator>
  <cp:keywords/>
  <dc:description/>
  <cp:lastModifiedBy>user</cp:lastModifiedBy>
  <cp:revision>2</cp:revision>
  <dcterms:created xsi:type="dcterms:W3CDTF">2023-07-04T06:35:00Z</dcterms:created>
  <dcterms:modified xsi:type="dcterms:W3CDTF">2023-07-04T06:35:00Z</dcterms:modified>
</cp:coreProperties>
</file>